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570-J</w:t>
        <w:t xml:space="preserve">.  </w:t>
      </w:r>
      <w:r>
        <w:rPr>
          <w:b/>
        </w:rPr>
        <w:t xml:space="preserve">Personnel and equipment</w:t>
      </w:r>
    </w:p>
    <w:p>
      <w:pPr>
        <w:jc w:val="both"/>
        <w:spacing w:before="100" w:after="100"/>
        <w:ind w:start="360"/>
        <w:ind w:firstLine="360"/>
      </w:pPr>
      <w:r>
        <w:rPr/>
      </w:r>
      <w:r>
        <w:rPr/>
      </w:r>
      <w:r>
        <w:t xml:space="preserve">The commissioner shall establish and maintain at appropriate locations employees and equipment that, in the commissioner's judgment, are necessary to carry out this subchapter. The commissioner, subject to the Civil Service Law, may employ personnel necessary to carry out the purposes of this subchapter and shall prescribe the duties of those employees. The salaries of those employees and the cost of that equipment must be paid from the fund established by </w:t>
      </w:r>
      <w:r>
        <w:t>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319, §38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66, §C2 (NEW). PL 1997, c. 374, §13 (AMD). PL 2003, c. 245, §18 (AMD). PL 2009, c. 319, §21 (AMD). PL 2015, c. 319, §38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§570-J. Personnel and equipment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§570-J. Personnel and equipment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§570-J. PERSONNEL AND EQUIPMENT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