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8-A</w:t>
        <w:t xml:space="preserve">.  </w:t>
      </w:r>
      <w:r>
        <w:rPr>
          <w:b/>
        </w:rPr>
        <w:t xml:space="preserve">Issuance of free admission pass to Maine State Museum to veterans</w:t>
      </w:r>
    </w:p>
    <w:p>
      <w:pPr>
        <w:jc w:val="both"/>
        <w:spacing w:before="100" w:after="100"/>
        <w:ind w:start="360"/>
        <w:ind w:firstLine="360"/>
      </w:pPr>
      <w:r>
        <w:rPr/>
      </w:r>
      <w:r>
        <w:rPr/>
      </w:r>
      <w:r>
        <w:t xml:space="preserve">The Commissioner of Defense, Veterans and Emergency Management, in accordance with a memorandum of agreement entered into with the Maine State Museum Commission under </w:t>
      </w:r>
      <w:r>
        <w:t>Title 27, section 83, subsection 5</w:t>
      </w:r>
      <w:r>
        <w:t xml:space="preserve"> and this section, shall issue a free admission pass to the Maine State Museum to eligible veterans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100"/>
        <w:ind w:start="360"/>
        <w:ind w:firstLine="360"/>
      </w:pPr>
      <w:r>
        <w:rPr>
          <w:b/>
        </w:rPr>
        <w:t>1</w:t>
        <w:t xml:space="preserve">.  </w:t>
      </w:r>
      <w:r>
        <w:rPr>
          <w:b/>
        </w:rPr>
        <w:t xml:space="preserve">Eligibility.</w:t>
        <w:t xml:space="preserve"> </w:t>
      </w:r>
      <w:r>
        <w:t xml:space="preserve"> </w:t>
      </w:r>
      <w:r>
        <w:t xml:space="preserve">The department shall determine a person's eligibility for a pass under this section by establishing that the person is a veteran and:</w:t>
      </w:r>
    </w:p>
    <w:p>
      <w:pPr>
        <w:jc w:val="both"/>
        <w:spacing w:before="100" w:after="0"/>
        <w:ind w:start="720"/>
      </w:pPr>
      <w:r>
        <w:rPr/>
        <w:t>A</w:t>
        <w:t xml:space="preserve">.  </w:t>
      </w:r>
      <w:r>
        <w:rPr/>
      </w:r>
      <w:r>
        <w:t xml:space="preserve">The person is a resident of this State; and</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w:pPr>
        <w:jc w:val="both"/>
        <w:spacing w:before="100" w:after="0"/>
        <w:ind w:start="720"/>
      </w:pPr>
      <w:r>
        <w:rPr/>
        <w:t>B</w:t>
        <w:t xml:space="preserve">.  </w:t>
      </w:r>
      <w:r>
        <w:rPr/>
      </w:r>
      <w:r>
        <w:t xml:space="preserve">The person received an honorable discharge or general discharge under honorable conditions.</w:t>
      </w:r>
      <w:r>
        <w:t xml:space="preserve">  </w:t>
      </w:r>
      <w:r xmlns:wp="http://schemas.openxmlformats.org/drawingml/2010/wordprocessingDrawing" xmlns:w15="http://schemas.microsoft.com/office/word/2012/wordml">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w:pPr>
        <w:jc w:val="both"/>
        <w:spacing w:before="100" w:after="0"/>
        <w:ind w:start="360"/>
        <w:ind w:firstLine="360"/>
      </w:pPr>
      <w:r>
        <w:rPr>
          <w:b/>
        </w:rPr>
        <w:t>2</w:t>
        <w:t xml:space="preserve">.  </w:t>
      </w:r>
      <w:r>
        <w:rPr>
          <w:b/>
        </w:rPr>
        <w:t xml:space="preserve">Responsibilities of commissioner.</w:t>
        <w:t xml:space="preserve"> </w:t>
      </w:r>
      <w:r>
        <w:t xml:space="preserve"> </w:t>
      </w:r>
      <w:r>
        <w:t xml:space="preserve">The Commissioner of Defense, Veterans and Emergency Management shall identify a point of contact within the department to issue free admission passes in accordance with this section and the memorandum of agreement entered into with the Maine State Museum Commission pursuant to </w:t>
      </w:r>
      <w:r>
        <w:t>Title 27, section 83, subsection 5</w:t>
      </w:r>
      <w:r>
        <w:t xml:space="preserve">.  The Commissioner of Defense, Veterans and Emergency Management shall periodically report to the Maine State Museum Commission a list of the names and addresses of all persons receiving passes to the Maine State Museum and the beginning dates for those passes.  A pass issued under this section does not expire and is valid for the lifetime of the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§8-A. Issuance of free admission pass to Maine State Museum to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§8-A. Issuance of free admission pass to Maine State Museum to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§8-A. ISSUANCE OF FREE ADMISSION PASS TO MAINE STATE MUSEUM TO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