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Appeal</w:t>
      </w:r>
    </w:p>
    <w:p>
      <w:pPr>
        <w:jc w:val="both"/>
        <w:spacing w:before="100" w:after="100"/>
        <w:ind w:start="360"/>
        <w:ind w:firstLine="360"/>
      </w:pPr>
      <w:r>
        <w:rPr/>
      </w:r>
      <w:r>
        <w:rPr/>
      </w:r>
      <w:r>
        <w:t xml:space="preserve">Upon petition of the accused, the Supreme Judicial Court shall review the record of any court-martial approved by the convening authority.</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w:pPr>
        <w:jc w:val="both"/>
        <w:spacing w:before="100" w:after="100"/>
        <w:ind w:start="360"/>
        <w:ind w:firstLine="360"/>
      </w:pPr>
      <w:r>
        <w:rPr/>
      </w:r>
      <w:r>
        <w:rPr/>
      </w:r>
      <w:r>
        <w:t xml:space="preserve">The accused shall file the petition for review within 30 days of the time the accused is notified of the approval of the case by the convening authority.</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w:pPr>
        <w:jc w:val="both"/>
        <w:spacing w:before="100" w:after="100"/>
        <w:ind w:start="360"/>
        <w:ind w:firstLine="360"/>
      </w:pPr>
      <w:r>
        <w:rPr/>
      </w:r>
      <w:r>
        <w:rPr/>
      </w:r>
      <w:r>
        <w:t xml:space="preserve">On the same date that the accused files the petition for review in the Supreme Judicial Court, the accused shall file a notice of the accused's intention to appeal with the convening authority.  Within 30 days, the convening authority shall forward the complete transcript of the case to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§433.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