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w:t>
        <w:t xml:space="preserve">.  </w:t>
      </w:r>
      <w:r>
        <w:rPr>
          <w:b/>
        </w:rPr>
        <w:t xml:space="preserve">New organizations</w:t>
      </w:r>
    </w:p>
    <w:p>
      <w:pPr>
        <w:jc w:val="both"/>
        <w:spacing w:before="100" w:after="100"/>
        <w:ind w:start="360"/>
        <w:ind w:firstLine="360"/>
      </w:pPr>
      <w:r>
        <w:rPr/>
      </w:r>
      <w:r>
        <w:rPr/>
      </w:r>
      <w:r>
        <w:t xml:space="preserve">When authorized by the national military establishment, new organizations may be raised on petition to the Governor, or by the Governor's order.  When the minimum number of persons required by law has been enlisted and notice thereof given to the Governor, the Governor shall order an inspection to be made by an officer of the National Guard, and if it is found that the condition contemplated by law for federal recognition can be met by the new organization, the Governor shall appoint commissioned officers for the new unit and request an inspection to be made by an officer of the national military establishment with a view to federal recognition.</w:t>
      </w:r>
      <w:r>
        <w:t xml:space="preserve">  </w:t>
      </w:r>
      <w:r xmlns:wp="http://schemas.openxmlformats.org/drawingml/2010/wordprocessingDrawing" xmlns:w15="http://schemas.microsoft.com/office/word/2012/wordml">
        <w:rPr>
          <w:rFonts w:ascii="Arial" w:hAnsi="Arial" w:cs="Arial"/>
          <w:sz w:val="22"/>
          <w:szCs w:val="22"/>
        </w:rPr>
        <w:t xml:space="preserve">[RR 2019, c. 1, Pt. B, §6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RR 2019, c. 1, Pt. B, §6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 New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 New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§149. NEW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