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JURISDICTION OVER PASSENGER VEHICLES</w:t>
      </w:r>
    </w:p>
    <w:p>
      <w:pPr>
        <w:jc w:val="center"/>
        <w:ind w:start="360"/>
        <w:spacing w:before="300" w:after="300"/>
      </w:pPr>
      <w:r>
        <w:rPr>
          <w:b/>
        </w:rPr>
        <w:t>(REPEALED)</w:t>
      </w:r>
    </w:p>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jc w:val="both"/>
        <w:spacing w:before="100" w:after="100"/>
        <w:ind w:start="1080" w:hanging="720"/>
      </w:pPr>
      <w:r>
        <w:rPr>
          <w:b/>
        </w:rPr>
        <w:t>§</w:t>
        <w:t>1646</w:t>
        <w:t xml:space="preserve">.  </w:t>
      </w:r>
      <w:r>
        <w:rPr>
          <w:b/>
        </w:rPr>
        <w:t xml:space="preserve">Other applicable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97. JURISDICTION OVER PASSENGER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JURISDICTION OVER PASSENGER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97. JURISDICTION OVER PASSENGER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