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9210</w:t>
        <w:t xml:space="preserve">.  </w:t>
      </w:r>
      <w:r>
        <w:rPr>
          <w:b/>
        </w:rPr>
        <w:t xml:space="preserve">Actions against authority</w:t>
      </w:r>
    </w:p>
    <w:p>
      <w:pPr>
        <w:jc w:val="both"/>
        <w:spacing w:before="100" w:after="100"/>
        <w:ind w:start="360"/>
        <w:ind w:firstLine="360"/>
      </w:pPr>
      <w:r>
        <w:rPr/>
      </w:r>
      <w:r>
        <w:rPr/>
      </w:r>
      <w:r>
        <w:t xml:space="preserve">A member of the authority, while acting within the scope of this chapter, is not subject to any personal liability resulting from the exercise or carrying out of any of the authority's purposes or powers.</w:t>
      </w:r>
      <w:r>
        <w:t xml:space="preserve">  </w:t>
      </w:r>
      <w:r xmlns:wp="http://schemas.openxmlformats.org/drawingml/2010/wordprocessingDrawing" xmlns:w15="http://schemas.microsoft.com/office/word/2012/wordml">
        <w:rPr>
          <w:rFonts w:ascii="Arial" w:hAnsi="Arial" w:cs="Arial"/>
          <w:sz w:val="22"/>
          <w:szCs w:val="22"/>
        </w:rPr>
        <w:t xml:space="preserve">[PL 2005, c. 665,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§9210. Actions against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§9210. Actions against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§9210. ACTIONS AGAINST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