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5101-F</w:t>
        <w:t xml:space="preserve">.  </w:t>
      </w:r>
      <w:r>
        <w:rPr>
          <w:b/>
        </w:rPr>
        <w:t xml:space="preserve">Exemptions</w:t>
      </w:r>
    </w:p>
    <w:p>
      <w:pPr>
        <w:jc w:val="both"/>
        <w:spacing w:before="100" w:after="100"/>
        <w:ind w:start="360"/>
        <w:ind w:firstLine="360"/>
      </w:pPr>
      <w:r>
        <w:rPr/>
      </w:r>
      <w:r>
        <w:rPr/>
      </w:r>
      <w:r>
        <w:t>Sections 5101‑A</w:t>
      </w:r>
      <w:r>
        <w:t xml:space="preserve"> to </w:t>
      </w:r>
      <w:r>
        <w:t>5101‑D</w:t>
      </w:r>
      <w:r>
        <w:t xml:space="preserve"> do not apply to the operations of any ferry service to the extent that those operations involve service to Chebeague Island and to none of the other islands served by the Casco Bay Island Transit District.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r>
      <w:r>
        <w:rPr/>
      </w:r>
      <w:r>
        <w:t xml:space="preserve">The Chebeague Transportation Company is not required to seek or hold a certificate of public convenience and necessity under </w:t>
      </w:r>
      <w:r>
        <w:t>section 5101</w:t>
      </w:r>
      <w:r>
        <w:t xml:space="preserve"> for ferry service between Chebeague Island and the mainland of Cumberland County north of Tukeys Bridge.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§5101-F.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§5101-F.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§5101-F.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