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Rate design</w:t>
      </w:r>
    </w:p>
    <w:p>
      <w:pPr>
        <w:jc w:val="both"/>
        <w:spacing w:before="100" w:after="100"/>
        <w:ind w:start="360"/>
        <w:ind w:firstLine="360"/>
      </w:pPr>
      <w:r>
        <w:rPr/>
      </w:r>
      <w:r>
        <w:rPr/>
      </w:r>
      <w:r>
        <w:t xml:space="preserve">The commission shall set charges and rates collected by transmission and distribution utilities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ind w:firstLine="360"/>
      </w:pPr>
      <w:r>
        <w:rPr>
          <w:b/>
        </w:rPr>
        <w:t>1</w:t>
        <w:t xml:space="preserve">.  </w:t>
      </w:r>
      <w:r>
        <w:rPr>
          <w:b/>
        </w:rPr>
        <w:t xml:space="preserve">Applicable law.</w:t>
        <w:t xml:space="preserve"> </w:t>
      </w:r>
      <w:r>
        <w:t xml:space="preserve"> </w:t>
      </w:r>
      <w:r>
        <w:t xml:space="preserve">The design of rate recovery for the collection of transmission and distribution costs, stranded costs and other costs recovered pursuant to this chapter must be consistent with existing law, as applicable.  The commission may continue to permit recovery, in transmission and distribution utility rates, of costs previously incurred by the utility when it was an integrated electric utility that are not included in the recovery of stranded costs pursuant to </w:t>
      </w:r>
      <w:r>
        <w:t>section 3208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2</w:t>
        <w:t xml:space="preserve">.  </w:t>
      </w:r>
      <w:r>
        <w:rPr>
          <w:b/>
        </w:rPr>
        <w:t xml:space="preserve">Proceeding.</w:t>
        <w:t xml:space="preserve"> </w:t>
      </w:r>
      <w:r>
        <w:t xml:space="preserve"> </w:t>
      </w:r>
      <w:r>
        <w:t xml:space="preserve">Following notice and hearing, the commission shall complete an adjudicatory proceeding on or before December 1, 1999 for the design of cost recovery for transmission and distribution costs, stranded costs and other costs recovered pursuant to this chapter and for the design of rates for backup or standby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L, §2 (AMD).]</w:t>
      </w:r>
    </w:p>
    <w:p>
      <w:pPr>
        <w:jc w:val="both"/>
        <w:spacing w:before="100" w:after="0"/>
        <w:ind w:start="360"/>
        <w:ind w:firstLine="360"/>
      </w:pPr>
      <w:r>
        <w:rPr>
          <w:b/>
        </w:rPr>
        <w:t>3</w:t>
        <w:t xml:space="preserve">.  </w:t>
      </w:r>
      <w:r>
        <w:rPr>
          <w:b/>
        </w:rPr>
        <w:t xml:space="preserve">Exit fees.</w:t>
        <w:t xml:space="preserve"> </w:t>
      </w:r>
      <w:r>
        <w:t xml:space="preserve"> </w:t>
      </w:r>
      <w:r>
        <w:t xml:space="preserve">A customer who significantly reduces or eliminates consumption of electricity due to self-generation, conversion to an alternative fuel or demand-side management may not be assessed an exit or reentry fee in any form for the reduction or elimination of consumption or reestablishment of service with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Decommissioning costs.</w:t>
        <w:t xml:space="preserve"> </w:t>
      </w:r>
      <w:r>
        <w:t xml:space="preserve"> </w:t>
      </w:r>
      <w:r>
        <w:t xml:space="preserve">As required by federal law, rule or order, the commission shall include in the rates of a transmission and distribution utility decommissioning expenses associated with a nuclear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§L2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§3209. Rate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Rate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 RATE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