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3209-G</w:t>
        <w:t xml:space="preserve">.  </w:t>
      </w:r>
      <w:r>
        <w:rPr>
          <w:b/>
        </w:rPr>
        <w:t xml:space="preserve">Net energy billing cost rate year adjustment</w:t>
      </w:r>
    </w:p>
    <w:p>
      <w:pPr>
        <w:jc w:val="both"/>
        <w:spacing w:before="100" w:after="0"/>
        <w:ind w:start="360"/>
        <w:ind w:firstLine="360"/>
      </w:pPr>
      <w:r>
        <w:rPr>
          <w:b/>
        </w:rPr>
        <w:t>1</w:t>
        <w:t xml:space="preserve">.  </w:t>
      </w:r>
      <w:r>
        <w:rPr>
          <w:b/>
        </w:rPr>
        <w:t xml:space="preserve">Adjustment of net energy billing cost rate year.</w:t>
        <w:t xml:space="preserve"> </w:t>
      </w:r>
      <w:r>
        <w:t xml:space="preserve"> </w:t>
      </w:r>
      <w:r>
        <w:t xml:space="preserve">The commission shall require a transmission and distribution utility to reconcile costs associated with net energy billing under </w:t>
      </w:r>
      <w:r>
        <w:t>sections 3209‑A</w:t>
      </w:r>
      <w:r>
        <w:t xml:space="preserve"> and </w:t>
      </w:r>
      <w:r>
        <w:t>3209‑B</w:t>
      </w:r>
      <w:r>
        <w:t xml:space="preserve">, as determined by the commission, in a rate year to begin on January 1st of each year, starting in 2026.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§10 (NEW).]</w:t>
      </w:r>
    </w:p>
    <w:p>
      <w:pPr>
        <w:jc w:val="both"/>
        <w:spacing w:before="100" w:after="0"/>
        <w:ind w:start="360"/>
        <w:ind w:firstLine="360"/>
      </w:pPr>
      <w:r>
        <w:rPr>
          <w:b/>
        </w:rPr>
        <w:t>2</w:t>
        <w:t xml:space="preserve">.  </w:t>
      </w:r>
      <w:r>
        <w:rPr>
          <w:b/>
        </w:rPr>
        <w:t xml:space="preserve">Rules.</w:t>
        <w:t xml:space="preserve"> </w:t>
      </w:r>
      <w:r>
        <w:t xml:space="preserve"> </w:t>
      </w:r>
      <w:r>
        <w:t xml:space="preserve">The commission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§3209-G. Net energy billing cost rate year adjustment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§3209-G. Net energy billing cost rate year adjustment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§3209-G. NET ENERGY BILLING COST RATE YEAR ADJUSTMENT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