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§302-A. RULES GOVERNING POLITICAL ACTIVITIES, PROMOTIONAL ADVERTISING, CHARITABLE CONTRIBUTIONS, EDUCATIONAL EXPENDITURES AND INSTITUTIONAL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