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9213</w:t>
        <w:t xml:space="preserve">.  </w:t>
      </w:r>
      <w:r>
        <w:rPr>
          <w:b/>
        </w:rPr>
        <w:t xml:space="preserve">Use of revenues</w:t>
      </w:r>
    </w:p>
    <w:p>
      <w:pPr>
        <w:jc w:val="both"/>
        <w:spacing w:before="100" w:after="100"/>
        <w:ind w:start="360"/>
        <w:ind w:firstLine="360"/>
      </w:pPr>
      <w:r>
        <w:rPr/>
      </w:r>
      <w:r>
        <w:rPr/>
      </w:r>
      <w:r>
        <w:t xml:space="preserve">The revenues derived by the authority from any assessment, transfer of funds, lease, assignment, rental agreement or other disposition or any other revenue must be used for the purposes of this chapter and applied in a competitively neutral fashion and without giving preference to any one form of technology over another.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§9213. Use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§9213. Use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§9213. USE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