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Stock for organization purposes</w:t>
      </w:r>
    </w:p>
    <w:p>
      <w:pPr>
        <w:jc w:val="both"/>
        <w:spacing w:before="100" w:after="100"/>
        <w:ind w:start="360"/>
        <w:ind w:firstLine="360"/>
      </w:pPr>
      <w:r>
        <w:rPr/>
      </w:r>
      <w:r>
        <w:rPr/>
      </w:r>
      <w:r>
        <w:t xml:space="preserve">Any public utility corporation at the time of its organization may issue for organization purposes, without the consent of the commission, not more than 6 shares of stock at par for cash or, if non-par stock, for the consideration of $100 per share, these shares when issued to be a part of the total capital issue.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§909. Stock for organization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Stock for organization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§909. STOCK FOR ORGANIZATION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