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1434</w:t>
        <w:t xml:space="preserve">.  </w:t>
      </w:r>
      <w:r>
        <w:rPr>
          <w:b/>
        </w:rPr>
        <w:t xml:space="preserve">Resident's property presumed abandoned</w:t>
      </w:r>
    </w:p>
    <w:p>
      <w:pPr>
        <w:jc w:val="both"/>
        <w:spacing w:before="100" w:after="100"/>
        <w:ind w:start="360"/>
        <w:ind w:firstLine="360"/>
      </w:pPr>
      <w:r>
        <w:rPr/>
      </w:r>
      <w:r>
        <w:rPr/>
      </w:r>
      <w:r>
        <w:t xml:space="preserve">Any property abandoned or unclaimed by a resident of a state institution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2003, c. 20, §T33 (AMD). PL 2019, c. 498,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§1434. Resident's property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§1434. Resident's property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§1434. RESIDENT'S PROPERTY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