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5603</w:t>
        <w:t xml:space="preserve">.  </w:t>
      </w:r>
      <w:r>
        <w:rPr>
          <w:b/>
        </w:rPr>
        <w:t xml:space="preserve">Entitlement</w:t>
      </w:r>
    </w:p>
    <w:p>
      <w:pPr>
        <w:jc w:val="both"/>
        <w:spacing w:before="100" w:after="100"/>
        <w:ind w:start="360"/>
        <w:ind w:firstLine="360"/>
      </w:pPr>
      <w:r>
        <w:rPr/>
      </w:r>
      <w:r>
        <w:rPr/>
      </w:r>
      <w:r>
        <w:t xml:space="preserve">Each person with an intellectual disability, autism or an acquired brain injury is entitled to the rights enjoyed by citizens of the State and of the United States, unless some of these rights have been limited or suspended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284, Pt. A, §6 (AMD).]</w:t>
      </w:r>
    </w:p>
    <w:p>
      <w:pPr>
        <w:jc w:val="both"/>
        <w:spacing w:before="100" w:after="0"/>
        <w:ind w:start="360"/>
        <w:ind w:firstLine="360"/>
      </w:pPr>
      <w:r>
        <w:rPr>
          <w:b/>
        </w:rPr>
        <w:t>1</w:t>
        <w:t xml:space="preserve">.  </w:t>
      </w:r>
      <w:r>
        <w:rPr>
          <w:b/>
        </w:rPr>
        <w:t xml:space="preserve">Person committed to the commissioner.</w:t>
        <w:t xml:space="preserve"> </w:t>
      </w:r>
      <w:r>
        <w:t xml:space="preserve"> </w:t>
      </w:r>
      <w:r>
        <w:t xml:space="preserve">The rights and basic protections set out in </w:t>
      </w:r>
      <w:r>
        <w:t>section 5605</w:t>
      </w:r>
      <w:r>
        <w:t xml:space="preserve"> of a person with an intellectual disability, autism or an acquired brain injury who is committed to the commissioner as not criminally responsible pursuant to </w:t>
      </w:r>
      <w:r>
        <w:t>Title 15, section 103</w:t>
      </w:r>
      <w:r>
        <w:t xml:space="preserve"> or as incompetent to stand trial pursuant to </w:t>
      </w:r>
      <w:r>
        <w:t>Title 15, section 101‑D</w:t>
      </w:r>
      <w:r>
        <w:t xml:space="preserve"> may be limited or suspended only if the commissioner submits to the applicable court a written treatment plan that specifies each limitation of a right or basic protection and the treatment plan has been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§8 (AMD). PL 2011, c. 186, Pt. A, §14 (AMD). PL 2011, c. 542, Pt. A, §126 (AMD). PL 2021, c. 284,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§5603. Entitlement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§5603. Entitlement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§5603. ENTITLEMENT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