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193</w:t>
        <w:t xml:space="preserve">.  </w:t>
      </w:r>
      <w:r>
        <w:rPr>
          <w:b/>
        </w:rPr>
        <w:t xml:space="preserve">Disclosures</w:t>
      </w:r>
    </w:p>
    <w:p>
      <w:pPr>
        <w:jc w:val="both"/>
        <w:spacing w:before="100" w:after="100"/>
        <w:ind w:start="360"/>
        <w:ind w:firstLine="360"/>
      </w:pPr>
      <w:r>
        <w:rPr/>
      </w:r>
      <w:r>
        <w:rPr/>
      </w:r>
      <w:r>
        <w:t xml:space="preserve">Unless the transaction is exempt under </w:t>
      </w:r>
      <w:r>
        <w:t>section 192</w:t>
      </w:r>
      <w:r>
        <w:t xml:space="preserve">, the seller of nonresidential real property shall provide to the purchaser a property disclosure statement containing the following:</w:t>
      </w:r>
      <w:r>
        <w:t xml:space="preserve">  </w:t>
      </w:r>
      <w:r xmlns:wp="http://schemas.openxmlformats.org/drawingml/2010/wordprocessingDrawing" xmlns:w15="http://schemas.microsoft.com/office/word/2012/wordml">
        <w:rPr>
          <w:rFonts w:ascii="Arial" w:hAnsi="Arial" w:cs="Arial"/>
          <w:sz w:val="22"/>
          <w:szCs w:val="22"/>
        </w:rPr>
        <w:t xml:space="preserve">[PL 2017, c. 345, §4 (NEW).]</w:t>
      </w:r>
    </w:p>
    <w:p>
      <w:pPr>
        <w:jc w:val="both"/>
        <w:spacing w:before="100" w:after="0"/>
        <w:ind w:start="360"/>
        <w:ind w:firstLine="360"/>
      </w:pPr>
      <w:r>
        <w:rPr>
          <w:b/>
        </w:rPr>
        <w:t>1</w:t>
        <w:t xml:space="preserve">.  </w:t>
      </w:r>
      <w:r>
        <w:rPr>
          <w:b/>
        </w:rPr>
        <w:t xml:space="preserve">Roads on or abutting property.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142, §1 (RP).]</w:t>
      </w:r>
    </w:p>
    <w:p>
      <w:pPr>
        <w:jc w:val="both"/>
        <w:spacing w:before="100" w:after="0"/>
        <w:ind w:start="360"/>
        <w:ind w:firstLine="360"/>
      </w:pPr>
      <w:r>
        <w:rPr>
          <w:b/>
        </w:rPr>
        <w:t>2</w:t>
        <w:t xml:space="preserve">.  </w:t>
      </w:r>
      <w:r>
        <w:rPr>
          <w:b/>
        </w:rPr>
        <w:t xml:space="preserve">Road maintenance.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142, §1 (RP).]</w:t>
      </w:r>
    </w:p>
    <w:p>
      <w:pPr>
        <w:jc w:val="both"/>
        <w:spacing w:before="100" w:after="100"/>
        <w:ind w:start="360"/>
        <w:ind w:firstLine="360"/>
      </w:pPr>
      <w:r>
        <w:rPr>
          <w:b/>
        </w:rPr>
        <w:t>3</w:t>
        <w:t xml:space="preserve">.  </w:t>
      </w:r>
      <w:r>
        <w:rPr>
          <w:b/>
        </w:rPr>
        <w:t xml:space="preserve">Access to the property.</w:t>
        <w:t xml:space="preserve"> </w:t>
      </w:r>
      <w:r>
        <w:t xml:space="preserve"> </w:t>
      </w:r>
      <w:r>
        <w:t xml:space="preserve">Information describing the means of accessing the property by:</w:t>
      </w:r>
    </w:p>
    <w:p>
      <w:pPr>
        <w:jc w:val="both"/>
        <w:spacing w:before="100" w:after="0"/>
        <w:ind w:start="720"/>
      </w:pPr>
      <w:r>
        <w:rPr/>
        <w:t>A</w:t>
        <w:t xml:space="preserve">.  </w:t>
      </w:r>
      <w:r>
        <w:rPr/>
      </w:r>
      <w:r>
        <w:t xml:space="preserve">A public way, as defined in </w:t>
      </w:r>
      <w:r>
        <w:t>Title 29‑A, section 101, subsection 59</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142, §2 (NEW).]</w:t>
      </w:r>
    </w:p>
    <w:p>
      <w:pPr>
        <w:jc w:val="both"/>
        <w:spacing w:before="100" w:after="0"/>
        <w:ind w:start="720"/>
      </w:pPr>
      <w:r>
        <w:rPr/>
        <w:t>B</w:t>
        <w:t xml:space="preserve">.  </w:t>
      </w:r>
      <w:r>
        <w:rPr/>
      </w:r>
      <w:r>
        <w:t xml:space="preserve">Any means other than a public way, in which case the seller shall disclose information about who is responsible for maintenance of the means of access, including any responsible road association, if known by the seller.</w:t>
      </w:r>
      <w:r>
        <w:t xml:space="preserve">  </w:t>
      </w:r>
      <w:r xmlns:wp="http://schemas.openxmlformats.org/drawingml/2010/wordprocessingDrawing" xmlns:w15="http://schemas.microsoft.com/office/word/2012/wordml">
        <w:rPr>
          <w:rFonts w:ascii="Arial" w:hAnsi="Arial" w:cs="Arial"/>
          <w:sz w:val="22"/>
          <w:szCs w:val="22"/>
        </w:rPr>
        <w:t xml:space="preserve">[PL 2019, c. 142,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142,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345, §4 (NEW). PL 2019, c. 142,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§193. Disclosures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§193. Disclosures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§193. DISCLOSURES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