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6100-CC</w:t>
        <w:t xml:space="preserve">.  </w:t>
      </w:r>
      <w:r>
        <w:rPr>
          <w:b/>
        </w:rPr>
        <w:t xml:space="preserve">Civil penalties</w:t>
      </w:r>
    </w:p>
    <w:p>
      <w:pPr>
        <w:jc w:val="both"/>
        <w:spacing w:before="100" w:after="100"/>
        <w:ind w:start="360"/>
        <w:ind w:firstLine="360"/>
      </w:pPr>
      <w:r>
        <w:rPr/>
      </w:r>
      <w:r>
        <w:rPr/>
      </w:r>
      <w:r>
        <w:t xml:space="preserve">The administrator may assess a civil penalty against a person that violates this Act or a rule adopted or an order issued under this Act in an amount not to exceed $1,000 per day for each day the violation is outstanding, plus this State's costs and expenses for the investigation and prosecution of the matter,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§6100-CC. Civil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§6100-CC. Civil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§6100-CC. CIVIL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