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4697</w:t>
        <w:t xml:space="preserve">.  </w:t>
      </w:r>
      <w:r>
        <w:rPr>
          <w:b/>
        </w:rPr>
        <w:t xml:space="preserve">Renewal of registration</w:t>
      </w:r>
    </w:p>
    <w:p>
      <w:pPr>
        <w:jc w:val="both"/>
        <w:spacing w:before="100" w:after="100"/>
        <w:ind w:start="360"/>
        <w:ind w:firstLine="360"/>
      </w:pPr>
      <w:r>
        <w:rPr/>
      </w:r>
      <w:r>
        <w:rPr/>
      </w:r>
      <w:r>
        <w:t xml:space="preserve">A registration is effective for one year commencing on the date of effectiveness.  A seller may annually renew the registration by paying a $10 fee, filing a copy of a current disclosure statement and providing evidence of a bond or escrow account satisfying the requirements of </w:t>
      </w:r>
      <w:r>
        <w:t>section 4695</w:t>
      </w:r>
      <w:r>
        <w:t xml:space="preserve">.  Failure to renew at the close of the one-year period of effectiveness results in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1991, c. 210,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§4697. Renewal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§4697. Renewal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§4697. RENEWAL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