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18538</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use of a coordinated data and reporting system containing licensure information, adverse action information and the reporting of any significant investigative information on all licensed physician assistants and applicants denied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provision of state law to the contrary, a participating state shall submit a uniform data set to the data system on all physician assistants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Any denial of application for licensure and the reasons for that denial, excluding the reporting of any criminal history record information where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participating states of any adverse action taken against a licensee or an individual applying for a license. Adverse action information pertaining to a licensee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must be reported to the commission through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 upon reporting of such by the participating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§18538.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§18538.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§18538.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