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18436</w:t>
        <w:t xml:space="preserve">.  </w:t>
      </w:r>
      <w:r>
        <w:rPr>
          <w:b/>
        </w:rPr>
        <w:t xml:space="preserve">Active military member and that member's spouse</w:t>
      </w:r>
    </w:p>
    <w:p>
      <w:pPr>
        <w:jc w:val="both"/>
        <w:spacing w:before="100" w:after="100"/>
        <w:ind w:start="360"/>
        <w:ind w:firstLine="360"/>
      </w:pPr>
      <w:r>
        <w:rPr/>
      </w:r>
      <w:r>
        <w:rPr/>
      </w:r>
      <w:r>
        <w:t xml:space="preserve">An active military member and that member's spouse may not be required to pay to the commission for a compact privilege the fee otherwise charged by the commission. If a remote state chooses to charge a fee for a compact privilege, the remote state may choose to charge a reduced fee or no fee to an active military member and that member's spouse for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§18436. Active military member and that member's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§18436. Active military member and that member's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§18436. ACTIVE MILITARY MEMBER AND THAT MEMBER'S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