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r>
        <w:t xml:space="preserve"> </w:t>
      </w:r>
      <w:r>
        <w:t xml:space="preserve">"Secretary" means the United States Secretary of the Interior.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