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budget estimate, as described in </w:t>
      </w:r>
      <w:r>
        <w:t>sections 701</w:t>
      </w:r>
      <w:r>
        <w:t xml:space="preserve"> and </w:t>
      </w:r>
      <w:r>
        <w:t>702</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 prepared by the county commissioners, together with any supplementary material prepared by the head of each county department or provided by any independent board or institution or another governmental agency.  The budget committee may increase, decrease, alter or revise the proposed budget,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shall be given at least 10 days before the hearing in a newspaper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officers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§9 (AMD).]</w:t>
      </w:r>
    </w:p>
    <w:p>
      <w:pPr>
        <w:jc w:val="both"/>
        <w:spacing w:before="100" w:after="0"/>
        <w:ind w:start="360"/>
        <w:ind w:firstLine="360"/>
      </w:pPr>
      <w:r>
        <w:rPr>
          <w:b/>
        </w:rPr>
        <w:t>4</w:t>
        <w:t xml:space="preserve">.  </w:t>
      </w:r>
      <w:r>
        <w:rPr>
          <w:b/>
        </w:rPr>
        <w:t xml:space="preserve">Adoption of budget.</w:t>
        <w:t xml:space="preserve"> </w:t>
      </w:r>
      <w:r>
        <w:t xml:space="preserve"> </w:t>
      </w:r>
      <w:r>
        <w:t xml:space="preserve">After the public hearing is completed, the budget committee may further increase, decrease, alter and revise the proposed itemized budget, subject to the conditions and restrictions imposed in </w:t>
      </w:r>
      <w:r>
        <w:t>subsection 2</w:t>
      </w:r>
      <w:r>
        <w:t xml:space="preserve">. The proposed itemized budget must be finally adopted by a majority vote of the budget committee at a duly called meeting not later than the end of the county's fiscal year.  The approved budget is the final authorization for the assessment of county taxes.  The budget shall be sent to the county commissioners and the county tax authorized shall be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87,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