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852</w:t>
        <w:t xml:space="preserve">.  </w:t>
      </w:r>
      <w:r>
        <w:rPr>
          <w:b/>
        </w:rPr>
        <w:t xml:space="preserve">Definitions</w:t>
      </w:r>
    </w:p>
    <w:p>
      <w:pPr>
        <w:jc w:val="both"/>
        <w:spacing w:before="100" w:after="100"/>
        <w:ind w:start="360"/>
        <w:ind w:firstLine="360"/>
      </w:pPr>
      <w:r>
        <w:rPr/>
      </w:r>
      <w:r>
        <w:rPr/>
      </w:r>
      <w:r>
        <w:t xml:space="preserve">As used in this article,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County commissioners.</w:t>
        <w:t xml:space="preserve"> </w:t>
      </w:r>
      <w:r>
        <w:t xml:space="preserve"> </w:t>
      </w:r>
      <w:r>
        <w:t xml:space="preserve">"County commissioners" means the county commissioners of Waldo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Municipal officers.</w:t>
        <w:t xml:space="preserve"> </w:t>
      </w:r>
      <w:r>
        <w:t xml:space="preserve"> </w:t>
      </w:r>
      <w:r>
        <w:t xml:space="preserve">"Municipal officers" means the mayor, councillors or members of the select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2021, c. 275,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