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7211</w:t>
        <w:t xml:space="preserve">.  </w:t>
      </w:r>
      <w:r>
        <w:rPr>
          <w:b/>
        </w:rPr>
        <w:t xml:space="preserve">Calling of meeting if officers refuse</w:t>
      </w:r>
    </w:p>
    <w:p>
      <w:pPr>
        <w:jc w:val="both"/>
        <w:spacing w:before="100" w:after="100"/>
        <w:ind w:start="360"/>
        <w:ind w:firstLine="360"/>
      </w:pPr>
      <w:r>
        <w:rPr/>
      </w:r>
      <w:r>
        <w:rPr/>
      </w:r>
      <w:r>
        <w:t xml:space="preserve">If the municipal officers refuse to call any municipal meeting required by this chapter, a meeting may be called as provided in </w:t>
      </w:r>
      <w:r>
        <w:t>section 2521,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§7211. Calling of meeting if officers refuse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§7211. Calling of meeting if officers refuse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§7211. CALLING OF MEETING IF OFFICERS REFUSE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