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4977</w:t>
        <w:t xml:space="preserve">.  </w:t>
      </w:r>
      <w:r>
        <w:rPr>
          <w:b/>
        </w:rPr>
        <w:t xml:space="preserve">Rules</w:t>
      </w:r>
    </w:p>
    <w:p>
      <w:pPr>
        <w:jc w:val="both"/>
        <w:spacing w:before="100" w:after="100"/>
        <w:ind w:start="360"/>
        <w:ind w:firstLine="360"/>
      </w:pPr>
      <w:r>
        <w:rPr/>
      </w:r>
      <w:r>
        <w:rPr/>
      </w:r>
      <w:r>
        <w:t xml:space="preserve">The Maine State Housing Authority may adopt rules in accordance with the Maine Administrative Procedure Act,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