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4773</w:t>
        <w:t xml:space="preserve">.  </w:t>
      </w:r>
      <w:r>
        <w:rPr>
          <w:b/>
        </w:rPr>
        <w:t xml:space="preserve">Housing Production Fund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11/01/25)</w:t>
      </w:r>
    </w:p>
    <w:p>
      <w:pPr>
        <w:jc w:val="both"/>
        <w:spacing w:before="100" w:after="100"/>
        <w:ind w:start="360"/>
        <w:ind w:firstLine="360"/>
      </w:pPr>
      <w:r>
        <w:rPr/>
      </w:r>
      <w:r>
        <w:rPr/>
      </w:r>
      <w:r>
        <w:t xml:space="preserve">The Housing Production Fund, referred to in this section as "the fund," is established as a nonlapsing fund under the jurisdiction and control of the Maine State Housing Authority.  The fund is funded by revenue from </w:t>
      </w:r>
      <w:r>
        <w:t>Title 36, section 4641‑A, subsection 1, paragraph A</w:t>
      </w:r>
      <w:r>
        <w:t xml:space="preserve">.  Funds in the fund must be used by the authority to support the federal low-income housing tax credit as provided in Section 42 of the United States Internal Revenue Code of 1986, as amended, and the authority's rural affordable rental housing program and affordable homeownership program.</w:t>
      </w:r>
      <w:r>
        <w:t xml:space="preserve">  </w:t>
      </w:r>
      <w:r xmlns:wp="http://schemas.openxmlformats.org/drawingml/2010/wordprocessingDrawing" xmlns:w15="http://schemas.microsoft.com/office/word/2012/wordml">
        <w:rPr>
          <w:rFonts w:ascii="Arial" w:hAnsi="Arial" w:cs="Arial"/>
          <w:sz w:val="22"/>
          <w:szCs w:val="22"/>
        </w:rPr>
        <w:t xml:space="preserve">[PL 2025, c. 388, Pt. V, §2 (NEW); PL 2025, c. 388, Pt. V,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V, §2 (NEW). PL 2025, c. 388, Pt. V,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§4773. Housing Production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§4773. Housing Production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§4773. HOUSING PRODUCTION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