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4357-B</w:t>
        <w:t xml:space="preserve">.  </w:t>
      </w:r>
      <w:r>
        <w:rPr>
          <w:b/>
        </w:rPr>
        <w:t xml:space="preserve">Homeless shelters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"homeless shelter" means a housing facility, the primary purpose of which is to provide temporary overnight accommodations to persons experiencing homelessness who are guests in either a dormitory-style or dwelling-unit-style arrangement or any combination of such arrangements.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156, §1 (NEW).]</w:t>
      </w:r>
    </w:p>
    <w:p>
      <w:pPr>
        <w:jc w:val="both"/>
        <w:spacing w:before="100" w:after="0"/>
        <w:ind w:start="360"/>
        <w:ind w:firstLine="360"/>
      </w:pPr>
      <w:r>
        <w:rPr>
          <w:b/>
        </w:rPr>
        <w:t>2</w:t>
        <w:t xml:space="preserve">.  </w:t>
      </w:r>
      <w:r>
        <w:rPr>
          <w:b/>
        </w:rPr>
        <w:t xml:space="preserve">Homeless shelters may not be prohibited.</w:t>
        <w:t xml:space="preserve"> </w:t>
      </w:r>
      <w:r>
        <w:t xml:space="preserve"> </w:t>
      </w:r>
      <w:r>
        <w:t xml:space="preserve">A municipality may not prohibit homeless shelters in the municipality.  This prohibition does not limit a municipality's home rule authority to reasonably regulate homeless shelters.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§4357-B. Homeless shelters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§4357-B. Homeless shelters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§4357-B. HOMELESS SHELTERS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