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Membership in a regional planning commission</w:t>
      </w:r>
    </w:p>
    <w:p>
      <w:pPr>
        <w:jc w:val="both"/>
        <w:spacing w:before="100" w:after="100"/>
        <w:ind w:start="360"/>
        <w:ind w:firstLine="360"/>
      </w:pPr>
      <w:r>
        <w:rPr/>
      </w:r>
      <w:r>
        <w:rPr/>
      </w:r>
      <w:r>
        <w:t xml:space="preserve">As provided in </w:t>
      </w:r>
      <w:r>
        <w:t>section 2323</w:t>
      </w:r>
      <w:r>
        <w:t xml:space="preserve">, a county may become a member of a regional planning commission by resolution of the county commissioners, provided that all or part of the county is located within the regional planning and development district or subdistrict served by the commission.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§1201. Membership in a regional planning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Membership in a regional planning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§1201. MEMBERSHIP IN A REGIONAL PLANNING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