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Notice to Legislature and fiscal administrator</w:t>
      </w:r>
    </w:p>
    <w:p>
      <w:pPr>
        <w:jc w:val="both"/>
        <w:spacing w:before="100" w:after="100"/>
        <w:ind w:start="360"/>
        <w:ind w:firstLine="360"/>
      </w:pPr>
      <w:r>
        <w:rPr/>
      </w:r>
      <w:r>
        <w:rPr/>
      </w:r>
      <w:r>
        <w:t xml:space="preserve">If the voters approve the question to develop a deorganization procedure, the moderator shall notify the fiscal administrator of the unorganized territory within the Office of the State Auditor and the executive director.  The notice shall report the results of the deorganization meeting and provide the reasons for deorganization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360"/>
        <w:ind w:firstLine="360"/>
      </w:pPr>
      <w:r>
        <w:rPr>
          <w:b/>
        </w:rPr>
        <w:t>1</w:t>
        <w:t xml:space="preserve">.  </w:t>
      </w:r>
      <w:r>
        <w:rPr>
          <w:b/>
        </w:rPr>
        <w:t xml:space="preserve">Notice to Legislature.</w:t>
        <w:t xml:space="preserve"> </w:t>
      </w:r>
      <w:r>
        <w:t xml:space="preserve"> </w:t>
      </w:r>
      <w:r>
        <w:t xml:space="preserve">The executive director shall provide a copy of the notice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Notice to commission.</w:t>
        <w:t xml:space="preserve"> </w:t>
      </w:r>
      <w:r>
        <w:t xml:space="preserve"> </w:t>
      </w:r>
      <w:r>
        <w:t xml:space="preserve">The fiscal administrator shall provide a copy of the notice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Notice to Legislature and fiscal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Notice to Legislature and fiscal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§7204. NOTICE TO LEGISLATURE AND FISCAL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