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county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county.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county may, by petition, obtain judicial review to determine the validity of the procedures under which a charter was adopted, revised or amended.  The 10 voters must serve the charter commission with notice of the petition.  The charter commission may intervene as a party in the proceeding.  The petition must be brought within 30 days after the election at which the charter, revision or amendment is approved.  If no such petition is filed within this period, compliance with all the procedures required by this chapter and the validity of the manner in which the charter adoption, revision or amendment was approved is conclusively presumed. No charter adoption, revision or amendment may be found invalid because of any procedural error or omission, unless it is shown that the error or omission materially and substantially affected the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or amended are invalid, the Superior Court may, on its own motion or the motion of any party, order the resubmission of the charter adoption, revision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§1325.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