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2063-B</w:t>
        <w:t xml:space="preserve">.  </w:t>
      </w:r>
      <w:r>
        <w:rPr>
          <w:b/>
        </w:rPr>
        <w:t xml:space="preserve">Toy vehicles</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 of this section, "toy vehicle" includes, but is not limited to, skateboards, rollerskates, wagons, sleds and coasters.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w:t>
      </w:r>
    </w:p>
    <w:p>
      <w:pPr>
        <w:jc w:val="both"/>
        <w:spacing w:before="100" w:after="0"/>
        <w:ind w:start="360"/>
        <w:ind w:firstLine="360"/>
      </w:pPr>
      <w:r>
        <w:rPr>
          <w:b/>
        </w:rPr>
        <w:t>2</w:t>
        <w:t xml:space="preserve">.  </w:t>
      </w:r>
      <w:r>
        <w:rPr>
          <w:b/>
        </w:rPr>
        <w:t xml:space="preserve">Hitching rides.</w:t>
        <w:t xml:space="preserve"> </w:t>
      </w:r>
      <w:r>
        <w:t xml:space="preserve"> </w:t>
      </w:r>
      <w:r>
        <w:t xml:space="preserve">A person riding on a toy vehicle may not attach it to a moving vehicle on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17 years of age or over who violates this section commits a traffic infraction for which a fine of not less than $25 and not more than $250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§3 (AMD).]</w:t>
      </w:r>
    </w:p>
    <w:p>
      <w:pPr>
        <w:jc w:val="both"/>
        <w:spacing w:before="100" w:after="0"/>
        <w:ind w:start="360"/>
        <w:ind w:firstLine="360"/>
      </w:pPr>
      <w:r>
        <w:rPr>
          <w:b/>
        </w:rPr>
        <w:t>4</w:t>
        <w:t xml:space="preserve">.  </w:t>
      </w:r>
      <w:r>
        <w:rPr>
          <w:b/>
        </w:rPr>
        <w:t xml:space="preserve">Impoundment.</w:t>
        <w:t xml:space="preserve"> </w:t>
      </w:r>
      <w:r>
        <w:t xml:space="preserve"> </w:t>
      </w:r>
      <w:r>
        <w:t xml:space="preserve">The chief of police of a municipality, or if there is no chief of police, the chair of the local legislative body, when satisfied that a juvenile under 17 years of age has ridden a toy vehicle in violation of this section, may impound the toy vehicle for a period not to exceed 5 days for the first offense, 10 days for a 2nd offense and 30 days for a subsequent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 PL 2013, c. 482,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§2063-B. Toy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§2063-B. Toy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§2063-B. TOY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