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Applications for new licenses -- Article V</w:t>
      </w:r>
    </w:p>
    <w:p>
      <w:pPr>
        <w:jc w:val="both"/>
        <w:spacing w:before="100" w:after="100"/>
        <w:ind w:start="360"/>
        <w:ind w:firstLine="360"/>
      </w:pPr>
      <w:r>
        <w:rPr/>
      </w:r>
      <w:r>
        <w:rPr/>
      </w:r>
      <w: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to the applicant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License suspended.</w:t>
        <w:t xml:space="preserve"> </w:t>
      </w:r>
      <w:r>
        <w:t xml:space="preserve"> </w:t>
      </w:r>
      <w:r>
        <w:t xml:space="preserve">The applicant has held such a license, but the same has been suspended by reason, in whole or in part, of a violation and if such suspension period has not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revoked.</w:t>
        <w:t xml:space="preserve"> </w:t>
      </w:r>
      <w:r>
        <w:t xml:space="preserve"> </w:t>
      </w:r>
      <w:r>
        <w:t xml:space="preserve">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Surrender of license.</w:t>
        <w:t xml:space="preserve"> </w:t>
      </w:r>
      <w:r>
        <w:t xml:space="preserve"> </w:t>
      </w:r>
      <w:r>
        <w:t xml:space="preserve">The applicant is the holder of a license to drive issued by another party state and currently in force unless the applicant surrenders such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§1455. Applications for new licenses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Applications for new licenses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§1455. APPLICATIONS FOR NEW LICENSES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