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7757</w:t>
        <w:t xml:space="preserve">.  </w:t>
      </w:r>
      <w:r>
        <w:rPr>
          <w:b/>
        </w:rPr>
        <w:t xml:space="preserve">Enforcement</w:t>
      </w:r>
    </w:p>
    <w:p>
      <w:pPr>
        <w:jc w:val="both"/>
        <w:spacing w:before="100" w:after="0"/>
        <w:ind w:start="360"/>
        <w:ind w:firstLine="360"/>
      </w:pPr>
      <w:r>
        <w:rPr>
          <w:b/>
        </w:rPr>
        <w:t>1</w:t>
        <w:t xml:space="preserve">.  </w:t>
      </w:r>
      <w:r>
        <w:rPr>
          <w:b/>
        </w:rPr>
        <w:t xml:space="preserve">Enforcement; violation.</w:t>
        <w:t xml:space="preserve"> </w:t>
      </w:r>
      <w:r>
        <w:t xml:space="preserve"> </w:t>
      </w:r>
      <w:r>
        <w:t xml:space="preserve">Notwithstanding </w:t>
      </w:r>
      <w:r>
        <w:t>section 12‑A</w:t>
      </w:r>
      <w:r>
        <w:t xml:space="preserve">, a violation of this chapter is subject to enforcement under the Maine Unfair Trade Practices Act, including any of the remedies provided for in that Act.  A violation is committed each time a prohibited act under this chapter occurs. An investigation of a violation by a manufacturer may include a wholesaler or 3rd party that may possess evidence supporting that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2</w:t>
        <w:t xml:space="preserve">.  </w:t>
      </w:r>
      <w:r>
        <w:rPr>
          <w:b/>
        </w:rPr>
        <w:t xml:space="preserve">Exemption from enforcement.</w:t>
        <w:t xml:space="preserve"> </w:t>
      </w:r>
      <w:r>
        <w:t xml:space="preserve"> </w:t>
      </w:r>
      <w:r>
        <w:t xml:space="preserve">The limited distribution of a drug required under 21 United States Code, Section 355-1 is not a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§7757.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§7757.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§7757.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