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7756</w:t>
        <w:t xml:space="preserve">.  </w:t>
      </w:r>
      <w:r>
        <w:rPr>
          <w:b/>
        </w:rPr>
        <w:t xml:space="preserve">Contracting under 340B program</w:t>
      </w:r>
    </w:p>
    <w:p>
      <w:pPr>
        <w:jc w:val="both"/>
        <w:spacing w:before="100" w:after="100"/>
        <w:ind w:start="360"/>
        <w:ind w:firstLine="360"/>
      </w:pPr>
      <w:r>
        <w:rPr/>
      </w:r>
      <w:r>
        <w:rPr/>
      </w:r>
      <w:r>
        <w:t xml:space="preserve">As permitted under federal law and regulation, a 340B entity shall, to the extent possible, contract with a 340B contract pharmacy that is located in this State.</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§7756. Contracting under 340B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§7756. Contracting under 340B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§7756. CONTRACTING UNDER 340B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