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Annual transfer</w:t>
      </w:r>
    </w:p>
    <w:p>
      <w:pPr>
        <w:jc w:val="both"/>
        <w:spacing w:before="100" w:after="100"/>
        <w:ind w:start="360"/>
        <w:ind w:firstLine="360"/>
      </w:pPr>
      <w:r>
        <w:rPr/>
      </w:r>
      <w:r>
        <w:rPr/>
      </w:r>
      <w:r>
        <w:t xml:space="preserve">Annually, beginning with the 2027-28 fiscal year, within 90 days following the end of the immediately prior fiscal year, and upon verification by the superintendent that sufficient surplus funds exist, the State Controller shall transfer $1,755,000 from available balances in the bureau's Other Special Revenue Funds account to the State Resilience Fund established in </w:t>
      </w:r>
      <w:r>
        <w:t>Title 5, section 3212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33, Pt. C,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Annual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Annual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§606. ANNUAL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