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Actions related to age of dwelling prohibited</w:t>
      </w:r>
    </w:p>
    <w:p>
      <w:pPr>
        <w:jc w:val="both"/>
        <w:spacing w:before="100" w:after="100"/>
        <w:ind w:start="360"/>
        <w:ind w:firstLine="360"/>
      </w:pPr>
      <w:r>
        <w:rPr/>
      </w:r>
      <w:r>
        <w:rPr/>
      </w:r>
      <w:r>
        <w:t xml:space="preserve">An insurance company authorized to transact business in this State may not cancel or refuse to issue or renew a property insurance policy subject to this subchapter solely on the basis of the age of the dwelling and without consideration of the current condition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§3057. Actions related to age of dwelling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Actions related to age of dwelling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§3057. ACTIONS RELATED TO AGE OF DWELLING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