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§3060. INSURANCE COVERAGE FOR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