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8712-A</w:t>
        <w:t xml:space="preserve">.  </w:t>
      </w:r>
      <w:r>
        <w:rPr>
          <w:b/>
        </w:rPr>
        <w:t xml:space="preserve">Care gap report</w:t>
      </w:r>
    </w:p>
    <w:p>
      <w:pPr>
        <w:jc w:val="both"/>
        <w:spacing w:before="100" w:after="100"/>
        <w:ind w:start="360"/>
        <w:ind w:firstLine="360"/>
      </w:pPr>
      <w:r>
        <w:rPr/>
      </w:r>
      <w:r>
        <w:rPr/>
      </w:r>
      <w:r>
        <w:t xml:space="preserve">The organization shall submit an annual report to the joint standing committees of the Legislature having jurisdiction over health and human services matters and over appropriations and financial affairs no later than November 15th of each year beginning in 2027.  This report must contain data on the care gap with a breakdown by MaineCare Benefits Manual sections and Office of Aging and Disability Services Policy Manual sections, including any changes in trends.</w:t>
      </w:r>
      <w:r>
        <w:t xml:space="preserve">  </w:t>
      </w:r>
      <w:r xmlns:wp="http://schemas.openxmlformats.org/drawingml/2010/wordprocessingDrawing" xmlns:w15="http://schemas.microsoft.com/office/word/2012/wordml">
        <w:rPr>
          <w:rFonts w:ascii="Arial" w:hAnsi="Arial" w:cs="Arial"/>
          <w:sz w:val="22"/>
          <w:szCs w:val="22"/>
        </w:rPr>
        <w:t xml:space="preserve">[PL 2025, c. 650, Pt. FF, §1 (NEW).]</w:t>
      </w:r>
    </w:p>
    <w:p>
      <w:pPr>
        <w:jc w:val="both"/>
        <w:spacing w:before="100" w:after="100"/>
        <w:ind w:start="360"/>
        <w:ind w:firstLine="360"/>
      </w:pPr>
      <w:r>
        <w:rPr/>
      </w:r>
      <w:r>
        <w:rPr/>
      </w:r>
      <w:r>
        <w:t xml:space="preserve">Data collected to create the report is not subject to the provisions of </w:t>
      </w:r>
      <w:r>
        <w:t>section 8712, subsection 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650, Pt. FF, §1 (NEW).]</w:t>
      </w:r>
    </w:p>
    <w:p>
      <w:pPr>
        <w:jc w:val="both"/>
        <w:spacing w:before="100" w:after="100"/>
        <w:ind w:start="360"/>
        <w:ind w:firstLine="360"/>
      </w:pPr>
      <w:r>
        <w:rPr/>
      </w:r>
      <w:r>
        <w:rPr/>
      </w:r>
      <w:r>
        <w:t xml:space="preserve">For purposes of this section, "care gap" means the difference between the home and community-based services individuals are authorized to receive and the services that they actually received.</w:t>
      </w:r>
      <w:r>
        <w:t xml:space="preserve">  </w:t>
      </w:r>
      <w:r xmlns:wp="http://schemas.openxmlformats.org/drawingml/2010/wordprocessingDrawing" xmlns:w15="http://schemas.microsoft.com/office/word/2012/wordml">
        <w:rPr>
          <w:rFonts w:ascii="Arial" w:hAnsi="Arial" w:cs="Arial"/>
          <w:sz w:val="22"/>
          <w:szCs w:val="22"/>
        </w:rPr>
        <w:t xml:space="preserve">[PL 2025, c. 650, Pt. FF,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FF,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§8712-A. Care gap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§8712-A. Care gap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§8712-A. CARE GAP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