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7245</w:t>
        <w:t xml:space="preserve">.  </w:t>
      </w:r>
      <w:r>
        <w:rPr>
          <w:b/>
        </w:rPr>
        <w:t xml:space="preserve">Legislative intent</w:t>
      </w:r>
    </w:p>
    <w:p>
      <w:pPr>
        <w:jc w:val="both"/>
        <w:spacing w:before="100" w:after="100"/>
        <w:ind w:start="360"/>
        <w:ind w:firstLine="360"/>
      </w:pPr>
      <w:r>
        <w:rPr/>
      </w:r>
      <w:r>
        <w:rPr/>
      </w:r>
      <w:r>
        <w:t xml:space="preserve">It is the intent of the Legislature that the prescription monitoring program established pursuant to this chapter serve as a means to promote the public health and welfare and to detect and prevent substance use disorder.  This chapter is not intended to interfere with the legitimate medical use of controlled substances.</w:t>
      </w:r>
      <w:r>
        <w:t xml:space="preserve">  </w:t>
      </w:r>
      <w:r xmlns:wp="http://schemas.openxmlformats.org/drawingml/2010/wordprocessingDrawing" xmlns:w15="http://schemas.microsoft.com/office/word/2012/wordml">
        <w:rPr>
          <w:rFonts w:ascii="Arial" w:hAnsi="Arial" w:cs="Arial"/>
          <w:sz w:val="22"/>
          <w:szCs w:val="22"/>
        </w:rPr>
        <w:t xml:space="preserve">[PL 2017, c. 407, Pt. A, §87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2017, c. 407, Pt. A, §87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§7245.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§7245.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§7245.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