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2650</w:t>
        <w:t xml:space="preserve">.  </w:t>
      </w:r>
      <w:r>
        <w:rPr>
          <w:b/>
        </w:rPr>
        <w:t xml:space="preserve">Source water quality assessment program</w:t>
      </w:r>
    </w:p>
    <w:p>
      <w:pPr>
        <w:jc w:val="both"/>
        <w:spacing w:before="100" w:after="0"/>
        <w:ind w:start="360"/>
        <w:ind w:firstLine="360"/>
      </w:pPr>
      <w:r>
        <w:rPr>
          <w:b/>
        </w:rPr>
        <w:t>1</w:t>
        <w:t xml:space="preserve">.  </w:t>
      </w:r>
      <w:r>
        <w:rPr>
          <w:b/>
        </w:rPr>
        <w:t xml:space="preserve">General authorization.</w:t>
        <w:t xml:space="preserve"> </w:t>
      </w:r>
      <w:r>
        <w:t xml:space="preserve"> </w:t>
      </w:r>
      <w:r>
        <w:t xml:space="preserve">The commissioner is authorized to implement and carry out a source water quality assessment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establishing the procedures for implementation and enforcement of the source water quality assessment program to comply with state and federal laws.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§2650. Source water quality assessment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§2650. Source water quality assessment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§2650. SOURCE WATER QUALITY ASSESSMENT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