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2612-A</w:t>
        <w:t xml:space="preserve">.  </w:t>
      </w:r>
      <w:r>
        <w:rPr>
          <w:b/>
        </w:rPr>
        <w:t xml:space="preserve">Capacity development</w:t>
      </w:r>
    </w:p>
    <w:p>
      <w:pPr>
        <w:jc w:val="both"/>
        <w:spacing w:before="100" w:after="0"/>
        <w:ind w:start="360"/>
        <w:ind w:firstLine="360"/>
      </w:pPr>
      <w:r>
        <w:rPr>
          <w:b/>
        </w:rPr>
        <w:t>1</w:t>
        <w:t xml:space="preserve">.  </w:t>
      </w:r>
      <w:r>
        <w:rPr>
          <w:b/>
        </w:rPr>
        <w:t xml:space="preserve">Authority.</w:t>
        <w:t xml:space="preserve"> </w:t>
      </w:r>
      <w:r>
        <w:t xml:space="preserve"> </w:t>
      </w:r>
      <w:r>
        <w:t xml:space="preserve">The commissioner is authorized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ensure that all new community water systems and new nontransient, noncommunity systems commencing operation after October 1, 1999 demonstrate technical, managerial and financial capacity with respect to each state primary drinking water regulation in effect, or likely to be in effect, on the date of commencement of operations.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§2612-A. Capacity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§2612-A. Capacity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§2612-A. CAPACITY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