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1718-I</w:t>
        <w:t xml:space="preserve">.  </w:t>
      </w:r>
      <w:r>
        <w:rPr>
          <w:b/>
        </w:rPr>
        <w:t xml:space="preserve">Hospital price transparency</w:t>
      </w:r>
    </w:p>
    <w:p>
      <w:pPr>
        <w:jc w:val="both"/>
        <w:spacing w:before="100" w:after="0"/>
        <w:ind w:start="360"/>
        <w:ind w:firstLine="360"/>
      </w:pPr>
      <w:r>
        <w:rPr>
          <w:b/>
        </w:rPr>
        <w:t>1</w:t>
        <w:t xml:space="preserve">.  </w:t>
      </w:r>
      <w:r>
        <w:rPr>
          <w:b/>
        </w:rPr>
        <w:t xml:space="preserve">Compliance with federal regulations.</w:t>
        <w:t xml:space="preserve"> </w:t>
      </w:r>
      <w:r>
        <w:t xml:space="preserve"> </w:t>
      </w:r>
      <w:r>
        <w:t xml:space="preserve">A hospital must comply with the price transparency requirements established in 45 Code of Federal Regulations, Part 180, Subparts A and B, as in effect on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2</w:t>
        <w:t xml:space="preserve">.  </w:t>
      </w:r>
      <w:r>
        <w:rPr>
          <w:b/>
        </w:rPr>
        <w:t xml:space="preserve">Standard format; rules.</w:t>
        <w:t xml:space="preserve"> </w:t>
      </w:r>
      <w:r>
        <w:t xml:space="preserve"> </w:t>
      </w:r>
      <w:r>
        <w:t xml:space="preserve">A hospital must provide price transparency data in a standardized format established in rule by the Maine Health Data Organization. The Maine Health Data Organization shall adopt by rule a standardized format for a hospital to disclose price transparency data that is the same or substantially similar to any format required by federal regulations. Rules adopted pursuant to this subsection are routine technical rules as described in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 hospital that fails to comply with </w:t>
      </w:r>
      <w:r>
        <w:t>subsection 2</w:t>
      </w:r>
      <w:r>
        <w:t xml:space="preserve"> or any rule adopted by the Maine Health Data Organization may be subject to a fine for failure to comply under </w:t>
      </w:r>
      <w:r>
        <w:t>section 8705‑A</w:t>
      </w:r>
      <w:r>
        <w:t xml:space="preserve">. Notwithstanding any provision of law to the contrary, the Maine Health Data Organization shall retain any fine collected from a hospital for a failure to comply with this section pursuant to a compliance action taken under </w:t>
      </w:r>
      <w:r>
        <w:t>section 8705‑A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w:pPr>
        <w:jc w:val="both"/>
        <w:spacing w:before="100" w:after="0"/>
        <w:ind w:start="360"/>
        <w:ind w:firstLine="360"/>
      </w:pPr>
      <w:r>
        <w:rPr>
          <w:b/>
        </w:rPr>
        <w:t>4</w:t>
        <w:t xml:space="preserve">.  </w:t>
      </w:r>
      <w:r>
        <w:rPr>
          <w:b/>
        </w:rPr>
        <w:t xml:space="preserve">Determination of material compliance; notice.</w:t>
        <w:t xml:space="preserve"> </w:t>
      </w:r>
      <w:r>
        <w:t xml:space="preserve"> </w:t>
      </w:r>
      <w:r>
        <w:t xml:space="preserve">Upon a determination that a hospital is not in material compliance with </w:t>
      </w:r>
      <w:r>
        <w:t>subsections 1</w:t>
      </w:r>
      <w:r>
        <w:t xml:space="preserve"> and </w:t>
      </w:r>
      <w:r>
        <w:t>2</w:t>
      </w:r>
      <w:r>
        <w:t xml:space="preserve">, the Maine Health Data Organization shall notify the hospital that the hospital is not in material compliance and require the hospital to take corrective action within 60 days to become materially compliant.  The Maine Health Data Organization shall adopt by rule standards for material compliance that align with federal regulations.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§1718-I. Hospital price transparency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§1718-I. Hospital price transparency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§1718-I. HOSPITAL PRICE TRANSPARENCY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