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1553-A</w:t>
        <w:t xml:space="preserve">.  </w:t>
      </w:r>
      <w:r>
        <w:rPr>
          <w:b/>
        </w:rPr>
        <w:t xml:space="preserve">Sales of tobacco products; vending machines</w:t>
      </w:r>
    </w:p>
    <w:p>
      <w:pPr>
        <w:jc w:val="both"/>
        <w:spacing w:before="100" w:after="100"/>
        <w:ind w:start="1080" w:hanging="720"/>
      </w:pPr>
      <w:r>
        <w:rPr>
          <w:b/>
        </w:rPr>
        <w:t>(CONTAINS TEXT WITH VARYING EFFECTIVE DATES)</w:t>
      </w:r>
    </w:p>
    <w:p>
      <w:pPr>
        <w:jc w:val="both"/>
        <w:spacing w:before="100" w:after="100"/>
        <w:ind w:start="360"/>
      </w:pPr>
      <w:r>
        <w:rPr>
          <w:b/>
        </w:rPr>
        <w:t>(WHOLE SECTION TEXT REPEALED 1/5/26 by PL 2025, c. 367, §§7, 20)</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305, §2 (AMD). PL 2017, c. 308, §5 (AMD). PL 2025, c. 367, §7 (RP). PL 2025, c. 367, §20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§1553-A. Sales of tobacco products; vending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§1553-A. Sales of tobacco products; vending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§1553-A. SALES OF TOBACCO PRODUCTS; VENDING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