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1513</w:t>
        <w:t xml:space="preserve">.  </w:t>
      </w:r>
      <w:r>
        <w:rPr>
          <w:b/>
        </w:rPr>
        <w:t xml:space="preserve">Fund for a Healthy Maine Stabilization Fund</w:t>
      </w:r>
    </w:p>
    <w:p>
      <w:pPr>
        <w:jc w:val="both"/>
        <w:spacing w:before="100" w:after="0"/>
        <w:ind w:start="360"/>
        <w:ind w:firstLine="360"/>
      </w:pPr>
      <w:r>
        <w:rPr>
          <w:b/>
        </w:rPr>
        <w:t>1</w:t>
        <w:t xml:space="preserve">.  </w:t>
      </w:r>
      <w:r>
        <w:rPr>
          <w:b/>
        </w:rPr>
        <w:t xml:space="preserve">Stabilization fund established.</w:t>
        <w:t xml:space="preserve"> </w:t>
      </w:r>
      <w:r>
        <w:t xml:space="preserve"> </w:t>
      </w:r>
      <w:r>
        <w:t xml:space="preserve">The Fund for a Healthy Maine Stabilization Fund, referred to in this section as "the stabilization fund," is established as a dedicated, nonlapsing subaccount of the Fund for a Healthy Maine special revenue account.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641, §4 (NEW).]</w:t>
      </w:r>
    </w:p>
    <w:p>
      <w:pPr>
        <w:jc w:val="both"/>
        <w:spacing w:before="100" w:after="100"/>
        <w:ind w:start="360"/>
        <w:ind w:firstLine="360"/>
      </w:pPr>
      <w:r>
        <w:rPr>
          <w:b/>
        </w:rPr>
        <w:t>2</w:t>
        <w:t xml:space="preserve">.  </w:t>
      </w:r>
      <w:r>
        <w:rPr>
          <w:b/>
        </w:rPr>
        <w:t xml:space="preserve">Sources of stabilization fund.</w:t>
        <w:t xml:space="preserve"> </w:t>
      </w:r>
      <w:r>
        <w:t xml:space="preserve"> </w:t>
      </w:r>
      <w:r>
        <w:t xml:space="preserve">The State Controller shall credit to the stabilization fund:</w:t>
      </w:r>
    </w:p>
    <w:p>
      <w:pPr>
        <w:jc w:val="both"/>
        <w:spacing w:before="100" w:after="0"/>
        <w:ind w:start="720"/>
      </w:pPr>
      <w:r>
        <w:rPr/>
        <w:t>A</w:t>
        <w:t xml:space="preserve">.  </w:t>
      </w:r>
      <w:r>
        <w:rPr/>
      </w:r>
      <w:r>
        <w:t xml:space="preserve">All nonparticipating manufacturer adjustments disputed in 2026 and 2027 by the State in settlement of or in relation to the lawsuit State of Maine v. Philip Morris, et al., Kennebec County Superior Court, Docket No. CV-97-134.  For the purposes of this subsection, "nonparticipating manufacturer" has the same meaning as in </w:t>
      </w:r>
      <w:r>
        <w:t>section 1580‑L, subsection 1, paragraph 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641, §4 (NEW).]</w:t>
      </w:r>
    </w:p>
    <w:p>
      <w:pPr>
        <w:jc w:val="both"/>
        <w:spacing w:before="100" w:after="0"/>
        <w:ind w:start="720"/>
      </w:pPr>
      <w:r>
        <w:rPr/>
        <w:t>B</w:t>
        <w:t xml:space="preserve">.  </w:t>
      </w:r>
      <w:r>
        <w:rPr/>
      </w:r>
      <w:r>
        <w:t xml:space="preserve">Ten percent of all nonparticipating manufacturer adjustments disputed in 2028 and thereafter by the State in settlement of or in relation to the lawsuit State of Maine v. Philip Morris, et al., Kennebec County Superior Court, Docket No. CV-97-134; and</w:t>
      </w:r>
      <w:r>
        <w:t xml:space="preserve">  </w:t>
      </w:r>
      <w:r xmlns:wp="http://schemas.openxmlformats.org/drawingml/2010/wordprocessingDrawing" xmlns:w15="http://schemas.microsoft.com/office/word/2012/wordml">
        <w:rPr>
          <w:rFonts w:ascii="Arial" w:hAnsi="Arial" w:cs="Arial"/>
          <w:sz w:val="22"/>
          <w:szCs w:val="22"/>
        </w:rPr>
        <w:t xml:space="preserve">[PL 2025, c. 641, §4 (NEW).]</w:t>
      </w:r>
    </w:p>
    <w:p>
      <w:pPr>
        <w:jc w:val="both"/>
        <w:spacing w:before="100" w:after="0"/>
        <w:ind w:start="720"/>
      </w:pPr>
      <w:r>
        <w:rPr/>
        <w:t>C</w:t>
        <w:t xml:space="preserve">.  </w:t>
      </w:r>
      <w:r>
        <w:rPr/>
      </w:r>
      <w:r>
        <w:t xml:space="preserve">A proportionate share of interest or other investment income on balances in the Fund for a Healthy Maine, as described by </w:t>
      </w:r>
      <w:r>
        <w:t>section 1511, subsection 2,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641,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641, §4 (NEW).]</w:t>
      </w:r>
    </w:p>
    <w:p>
      <w:pPr>
        <w:jc w:val="both"/>
        <w:spacing w:before="100" w:after="100"/>
        <w:ind w:start="360"/>
        <w:ind w:firstLine="360"/>
      </w:pPr>
      <w:r>
        <w:rPr>
          <w:b/>
        </w:rPr>
        <w:t>3</w:t>
        <w:t xml:space="preserve">.  </w:t>
      </w:r>
      <w:r>
        <w:rPr>
          <w:b/>
        </w:rPr>
        <w:t xml:space="preserve">Use of funds; priority.</w:t>
        <w:t xml:space="preserve"> </w:t>
      </w:r>
      <w:r>
        <w:t xml:space="preserve"> </w:t>
      </w:r>
      <w:r>
        <w:t xml:space="preserve">Allocations from the stabilization fund must be used for the following purposes and in the following order of priority:</w:t>
      </w:r>
    </w:p>
    <w:p>
      <w:pPr>
        <w:jc w:val="both"/>
        <w:spacing w:before="100" w:after="0"/>
        <w:ind w:start="720"/>
      </w:pPr>
      <w:r>
        <w:rPr/>
        <w:t>A</w:t>
        <w:t xml:space="preserve">.  </w:t>
      </w:r>
      <w:r>
        <w:rPr/>
      </w:r>
      <w:r>
        <w:t xml:space="preserve">First, for Fund for a Healthy Maine program allocations beginning July 1, 2027, up to the amount budgeted to be received pursuant to the Master Settlement Agreement as defined in </w:t>
      </w:r>
      <w:r>
        <w:t>section 1580‑H, subsection 5</w:t>
      </w:r>
      <w:r>
        <w:t xml:space="preserve"> before April 30, 2028;</w:t>
      </w:r>
      <w:r>
        <w:t xml:space="preserve">  </w:t>
      </w:r>
      <w:r xmlns:wp="http://schemas.openxmlformats.org/drawingml/2010/wordprocessingDrawing" xmlns:w15="http://schemas.microsoft.com/office/word/2012/wordml">
        <w:rPr>
          <w:rFonts w:ascii="Arial" w:hAnsi="Arial" w:cs="Arial"/>
          <w:sz w:val="22"/>
          <w:szCs w:val="22"/>
        </w:rPr>
        <w:t xml:space="preserve">[PL 2025, c. 641, §4 (NEW).]</w:t>
      </w:r>
    </w:p>
    <w:p>
      <w:pPr>
        <w:jc w:val="both"/>
        <w:spacing w:before="100" w:after="0"/>
        <w:ind w:start="720"/>
      </w:pPr>
      <w:r>
        <w:rPr/>
        <w:t>B</w:t>
        <w:t xml:space="preserve">.  </w:t>
      </w:r>
      <w:r>
        <w:rPr/>
      </w:r>
      <w:r>
        <w:t xml:space="preserve">Second, if the need for a working capital advance or use of settlement payments pursuant to the Master Settlement Agreement as defined in </w:t>
      </w:r>
      <w:r>
        <w:t>section 1580‑H, subsection 5</w:t>
      </w:r>
      <w:r>
        <w:t xml:space="preserve"> in the fiscal year in which the settlement payments are received is not eliminated before April 30, 2028 and funds remain in the stabilization fund in subsequent years, to reduce reliance on these sources until all settlement payments can be allocated to the fiscal year following the year in which the settlement payments are received; and</w:t>
      </w:r>
      <w:r>
        <w:t xml:space="preserve">  </w:t>
      </w:r>
      <w:r xmlns:wp="http://schemas.openxmlformats.org/drawingml/2010/wordprocessingDrawing" xmlns:w15="http://schemas.microsoft.com/office/word/2012/wordml">
        <w:rPr>
          <w:rFonts w:ascii="Arial" w:hAnsi="Arial" w:cs="Arial"/>
          <w:sz w:val="22"/>
          <w:szCs w:val="22"/>
        </w:rPr>
        <w:t xml:space="preserve">[PL 2025, c. 641, §4 (NEW).]</w:t>
      </w:r>
    </w:p>
    <w:p>
      <w:pPr>
        <w:jc w:val="both"/>
        <w:spacing w:before="100" w:after="0"/>
        <w:ind w:start="720"/>
      </w:pPr>
      <w:r>
        <w:rPr/>
        <w:t>C</w:t>
        <w:t xml:space="preserve">.  </w:t>
      </w:r>
      <w:r>
        <w:rPr/>
      </w:r>
      <w:r>
        <w:t xml:space="preserve">Third, if funds remain following the uses described in </w:t>
      </w:r>
      <w:r>
        <w:t>paragraphs A</w:t>
      </w:r>
      <w:r>
        <w:t xml:space="preserve"> and </w:t>
      </w:r>
      <w:r>
        <w:t>B</w:t>
      </w:r>
      <w:r>
        <w:t xml:space="preserve">, for any allowable health promotion purpose described in </w:t>
      </w:r>
      <w:r>
        <w:t>section 1511, subsection 6</w:t>
      </w:r>
      <w:r>
        <w:t xml:space="preserve"> or health-related research and planning activities to supplement and connect current efforts among state agencies and stakeholders.</w:t>
      </w:r>
      <w:r>
        <w:t xml:space="preserve">  </w:t>
      </w:r>
      <w:r xmlns:wp="http://schemas.openxmlformats.org/drawingml/2010/wordprocessingDrawing" xmlns:w15="http://schemas.microsoft.com/office/word/2012/wordml">
        <w:rPr>
          <w:rFonts w:ascii="Arial" w:hAnsi="Arial" w:cs="Arial"/>
          <w:sz w:val="22"/>
          <w:szCs w:val="22"/>
        </w:rPr>
        <w:t xml:space="preserve">[PL 2025, c. 641,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641, §4 (NEW).]</w:t>
      </w:r>
    </w:p>
    <w:p>
      <w:pPr>
        <w:jc w:val="both"/>
        <w:spacing w:before="100" w:after="0"/>
        <w:ind w:start="360"/>
        <w:ind w:firstLine="360"/>
      </w:pPr>
      <w:r>
        <w:rPr>
          <w:b/>
        </w:rPr>
        <w:t>4</w:t>
        <w:t xml:space="preserve">.  </w:t>
      </w:r>
      <w:r>
        <w:rPr>
          <w:b/>
        </w:rPr>
        <w:t xml:space="preserve">Transfer of funds.</w:t>
        <w:t xml:space="preserve"> </w:t>
      </w:r>
      <w:r>
        <w:t xml:space="preserve"> </w:t>
      </w:r>
      <w:r>
        <w:t xml:space="preserve">If the stabilization fund is eliminated or dissolved for any reason, the State Controller shall transfer the balance of funds back to the Fund for a Healthy Maine established in </w:t>
      </w:r>
      <w:r>
        <w:t>section 1511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641,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641,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§1513. Fund for a Healthy Maine Stabilization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§1513. Fund for a Healthy Maine Stabilization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§1513. FUND FOR A HEALTHY MAINE STABILIZATION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