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374-B</w:t>
        <w:t xml:space="preserve">.  </w:t>
      </w:r>
      <w:r>
        <w:rPr>
          <w:b/>
        </w:rPr>
        <w:t xml:space="preserve">Special election candidates</w:t>
      </w:r>
    </w:p>
    <w:p>
      <w:pPr>
        <w:jc w:val="both"/>
        <w:spacing w:before="100" w:after="100"/>
        <w:ind w:start="360"/>
        <w:ind w:firstLine="360"/>
      </w:pPr>
      <w:r>
        <w:rPr/>
      </w:r>
      <w:r>
        <w:rPr/>
      </w:r>
      <w:r>
        <w:t xml:space="preserve">If a candidate for an office on a special election ballot dies or withdraws for any reason, the candidate's name will not be removed from the ballot.  The Secretary of State shall immediately prepare and distribute to the local election officials in the candidate's electoral district a notice informing voters that the candidate has died or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that the candidate has died or has withdrawn must also be posted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§374-B. Special election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§374-B. Special election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§374-B. SPECIAL ELECTION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