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Nomination authorized</w:t>
      </w:r>
    </w:p>
    <w:p>
      <w:pPr>
        <w:jc w:val="both"/>
        <w:spacing w:before="100" w:after="100"/>
        <w:ind w:start="360"/>
        <w:ind w:firstLine="360"/>
      </w:pPr>
      <w:r>
        <w:rPr/>
      </w:r>
      <w:r>
        <w:rPr/>
      </w:r>
      <w:r>
        <w:t xml:space="preserve">The nomination of a candidate, other than by a party, for any federal, state or county office must be made by petition,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Limited to one office.</w:t>
        <w:t xml:space="preserve"> </w:t>
      </w:r>
      <w:r>
        <w:t xml:space="preserve"> </w:t>
      </w:r>
      <w:r>
        <w:t xml:space="preserve">A person may not file, whether by primary election or nomination petition, as a candidate for more than one federal, state or county office at any election,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Limited to one method.</w:t>
        <w:t xml:space="preserve"> </w:t>
      </w:r>
      <w:r>
        <w:t xml:space="preserve"> </w:t>
      </w:r>
      <w:r>
        <w:t xml:space="preserve">A person may file as a candidate for any federal, state or county office either by primary election or nomination petition, except as provided in </w:t>
      </w:r>
      <w:r>
        <w:t>subsection 3</w:t>
      </w:r>
      <w:r>
        <w:t xml:space="preserve">, but not by both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Exception.</w:t>
        <w:t xml:space="preserve"> </w:t>
      </w:r>
      <w:r>
        <w:t xml:space="preserve"> </w:t>
      </w:r>
      <w:r>
        <w:t xml:space="preserve">A candidate for membership in a county charter commission must be nominated by petition, and may file as a candidate for one additional federal, state or county office at that same election.  A candidate for presidential elector may also file as a candidate for one additional federal, state or county office at that same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 Nomination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Nomination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§351. NOMINATION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