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Notice of parties of qualified primary voters</w:t>
      </w:r>
    </w:p>
    <w:p>
      <w:pPr>
        <w:jc w:val="both"/>
        <w:spacing w:before="100" w:after="100"/>
        <w:ind w:start="1080" w:hanging="720"/>
      </w:pPr>
      <w:r>
        <w:rPr>
          <w:b/>
        </w:rPr>
        <w:t>(CONTAINS TEXT WITH VARYING EFFECTIVE DATES)</w:t>
      </w:r>
    </w:p>
    <w:p>
      <w:pPr>
        <w:jc w:val="both"/>
        <w:spacing w:before="100" w:after="100"/>
        <w:ind w:start="360"/>
      </w:pPr>
      <w:r>
        <w:rPr>
          <w:b/>
        </w:rPr>
        <w:t>(WHOLE SECTION TEXT REPEALED 1/01/24 by PL 2021, c. 750, §5; §14)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423, §3 (NEW). PL 2021, c. 750, §5 (RP). PL 2021, c. 750,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§340. Notice of parties of qualified primary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Notice of parties of qualified primary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§340. NOTICE OF PARTIES OF QUALIFIED PRIMARY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