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432 (AMD). PL 1965, c. 513, §29 (AMD). PL 1967, c. 75 (AMD). PL 1967, c. 425, §19 (AMD). PL 1969, c. 234, §§1,2 (AMD). PL 1969, c. 504, §26 (AMD). PL 1971, c. 168 (AMD). PL 1971, c. 198 (AMD). PL 1971, c. 530, §§2-A (AMD). PL 1971, c. 610, §§7,18 (AMD). PL 1973, c. 70 (AMD). PL 1973, c. 203 (AMD). PL 1973, c. 225 (AMD). PL 1973, c. 571, §§11,12 (AMD). PL 1973, c. 625, §98 (AMD). PL 1973, c. 788, §71 (AMD). PL 1975, c. 746, §§1-A (AMD). PL 1975, c. 771, §175 (AMD). PL 1977, c. 26 (AMD). PL 1977, c. 215 (AMD). PL 1977, c. 497, §1 (AMD). PL 1977, c. 674, §17 (AMD). PL 1977, c. 690, §1 (AMD). PL 1977, c. 694, §308 (AMD). PL 1979, c. 49 (AMD). PL 1979, c. 71 (AMD). PL 1979, c. 670, §2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