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6304-B</w:t>
        <w:t xml:space="preserve">.  </w:t>
      </w:r>
      <w:r>
        <w:rPr>
          <w:b/>
        </w:rPr>
        <w:t xml:space="preserve">Athletic emergency action plans; automated external defibrillator</w:t>
      </w:r>
    </w:p>
    <w:p>
      <w:pPr>
        <w:jc w:val="both"/>
        <w:spacing w:before="100" w:after="100"/>
        <w:ind w:start="360"/>
        <w:ind w:firstLine="360"/>
      </w:pPr>
      <w:r>
        <w:rPr/>
      </w:r>
      <w:r>
        <w:rPr/>
      </w:r>
      <w:r>
        <w:t xml:space="preserve">A school administrative unit shall develop and implement an athletic emergency action plan based on recommendations from a nationally recognized heart health organization or nationally recognized athletic training organization that addresses the appropriate, venue-specific use of an automated external defibrillator by school personnel to respond to an individual experiencing sudden cardiac arrest or a similar life-threatening emergency while attending or participating in a school-sponsored athletic event on school property, including a team practice.</w:t>
      </w:r>
      <w:r>
        <w:t xml:space="preserve">  </w:t>
      </w:r>
      <w:r xmlns:wp="http://schemas.openxmlformats.org/drawingml/2010/wordprocessingDrawing" xmlns:w15="http://schemas.microsoft.com/office/word/2012/wordml">
        <w:rPr>
          <w:rFonts w:ascii="Arial" w:hAnsi="Arial" w:cs="Arial"/>
          <w:sz w:val="22"/>
          <w:szCs w:val="22"/>
        </w:rPr>
        <w:t xml:space="preserve">[PL 2025, c. 529,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529,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§6304-B. Athletic emergency action plans; automated external defibrillator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§6304-B. Athletic emergency action plans; automated external defibrillator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§6304-B. ATHLETIC EMERGENCY ACTION PLANS; AUTOMATED EXTERNAL DEFIBRILLATOR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