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6304-A</w:t>
        <w:t xml:space="preserve">.  </w:t>
      </w:r>
      <w:r>
        <w:rPr>
          <w:b/>
        </w:rPr>
        <w:t xml:space="preserve">Policy for access to automated external defibrillators</w:t>
      </w:r>
    </w:p>
    <w:p>
      <w:pPr>
        <w:jc w:val="both"/>
        <w:spacing w:before="100" w:after="100"/>
        <w:ind w:start="360"/>
        <w:ind w:firstLine="360"/>
      </w:pPr>
      <w:r>
        <w:rPr/>
      </w:r>
      <w:r>
        <w:rPr/>
      </w:r>
      <w:r>
        <w:t xml:space="preserve">Beginning in the 2027-2028 school year, a school administrative unit shall develop and implement a policy that provides access to automated external defibrillators at all school-sponsored athletic events in which students are participating on school property, including team practices.  The policy must include how a person can access an automated external defibrillator while attending a school-sponsored athletic event.  An automated external defibrillator acquired by a school administrative unit pursuant to this section must be tested and maintained according to the manufacturer's operational guidelines.  Appropriate first aid, ambulance, rescue service or other appropriate local emergency medical service providers must be notified of the location and type of automated external defibrillator acquired.</w:t>
      </w:r>
      <w:r>
        <w:t xml:space="preserve">  </w:t>
      </w:r>
      <w:r xmlns:wp="http://schemas.openxmlformats.org/drawingml/2010/wordprocessingDrawing" xmlns:w15="http://schemas.microsoft.com/office/word/2012/wordml">
        <w:rPr>
          <w:rFonts w:ascii="Arial" w:hAnsi="Arial" w:cs="Arial"/>
          <w:sz w:val="22"/>
          <w:szCs w:val="22"/>
        </w:rPr>
        <w:t xml:space="preserve">[PL 2025, c. 757, Pt. H,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529, §1 (NEW). PL 2025, c. 757, Pt. H,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§6304-A. Policy for access to automated external defibrillators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§6304-A. Policy for access to automated external defibrillators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§6304-A. POLICY FOR ACCESS TO AUTOMATED EXTERNAL DEFIBRILLATORS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