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w:t>
        <w:t xml:space="preserve">.  </w:t>
      </w:r>
      <w:r>
        <w:rPr>
          <w:b/>
        </w:rPr>
        <w:t xml:space="preserve">Wabanaki studies specialist</w:t>
      </w:r>
    </w:p>
    <w:p>
      <w:pPr>
        <w:jc w:val="both"/>
        <w:spacing w:before="100" w:after="100"/>
        <w:ind w:start="360"/>
      </w:pPr>
      <w:r>
        <w:rPr>
          <w:b/>
        </w:rPr>
        <w:t>(REALLOCATED FROM TITLE 20-A, SECTION 14)</w:t>
      </w:r>
    </w:p>
    <w:p>
      <w:pPr>
        <w:jc w:val="both"/>
        <w:spacing w:before="100" w:after="100"/>
        <w:ind w:start="360"/>
        <w:ind w:firstLine="360"/>
      </w:pPr>
      <w:r>
        <w:rPr/>
      </w:r>
      <w:r>
        <w:rPr/>
      </w:r>
      <w:r>
        <w:t xml:space="preserve">The Wabanaki studies specialist, referred to in this section as "the specialist," is established in the department to ensure the inclusion of Wabanaki studies in the parameters for essential instruction and graduation requirements as required by </w:t>
      </w:r>
      <w:r>
        <w:t>section 4706, subsection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762, §1 (NEW); RR 2025, c. 2, Pt. A, §101 (RAL).]</w:t>
      </w:r>
    </w:p>
    <w:p>
      <w:pPr>
        <w:jc w:val="both"/>
        <w:spacing w:before="100" w:after="100"/>
        <w:ind w:start="360"/>
        <w:ind w:firstLine="360"/>
      </w:pPr>
      <w:r>
        <w:rPr>
          <w:b/>
        </w:rPr>
        <w:t>1</w:t>
        <w:t xml:space="preserve">.  </w:t>
      </w:r>
      <w:r>
        <w:rPr>
          <w:b/>
        </w:rPr>
        <w:t xml:space="preserve">Duties.</w:t>
        <w:t xml:space="preserve"> </w:t>
      </w:r>
      <w:r>
        <w:t xml:space="preserve"> </w:t>
      </w:r>
      <w:r>
        <w:t xml:space="preserve">The specialist, in consultation with the contracted Wabanaki advisors, shall:</w:t>
      </w:r>
    </w:p>
    <w:p>
      <w:pPr>
        <w:jc w:val="both"/>
        <w:spacing w:before="100" w:after="0"/>
        <w:ind w:start="720"/>
      </w:pPr>
      <w:r>
        <w:rPr/>
        <w:t>A</w:t>
        <w:t xml:space="preserve">.  </w:t>
      </w:r>
      <w:r>
        <w:rPr/>
      </w:r>
      <w:r>
        <w:t xml:space="preserve">Assist school administrative units and educators in the exploration of a wide range of educational materials and resources relating to Wabanaki studies;</w:t>
      </w:r>
      <w:r>
        <w:t xml:space="preserve">  </w:t>
      </w:r>
      <w:r xmlns:wp="http://schemas.openxmlformats.org/drawingml/2010/wordprocessingDrawing" xmlns:w15="http://schemas.microsoft.com/office/word/2012/wordml">
        <w:rPr>
          <w:rFonts w:ascii="Arial" w:hAnsi="Arial" w:cs="Arial"/>
          <w:sz w:val="22"/>
          <w:szCs w:val="22"/>
        </w:rPr>
        <w:t xml:space="preserve">[PL 2025, c. 762, §1 (NEW); RR 2025, c. 2, Pt. A, §101 (RAL).]</w:t>
      </w:r>
    </w:p>
    <w:p>
      <w:pPr>
        <w:jc w:val="both"/>
        <w:spacing w:before="100" w:after="0"/>
        <w:ind w:start="720"/>
      </w:pPr>
      <w:r>
        <w:rPr/>
        <w:t>B</w:t>
        <w:t xml:space="preserve">.  </w:t>
      </w:r>
      <w:r>
        <w:rPr/>
      </w:r>
      <w:r>
        <w:t xml:space="preserve">Identify materials and resources for implementing the instruction of Wabanaki studies;</w:t>
      </w:r>
      <w:r>
        <w:t xml:space="preserve">  </w:t>
      </w:r>
      <w:r xmlns:wp="http://schemas.openxmlformats.org/drawingml/2010/wordprocessingDrawing" xmlns:w15="http://schemas.microsoft.com/office/word/2012/wordml">
        <w:rPr>
          <w:rFonts w:ascii="Arial" w:hAnsi="Arial" w:cs="Arial"/>
          <w:sz w:val="22"/>
          <w:szCs w:val="22"/>
        </w:rPr>
        <w:t xml:space="preserve">[PL 2025, c. 762, §1 (NEW); RR 2025, c. 2, Pt. A, §101 (RAL).]</w:t>
      </w:r>
    </w:p>
    <w:p>
      <w:pPr>
        <w:jc w:val="both"/>
        <w:spacing w:before="100" w:after="0"/>
        <w:ind w:start="720"/>
      </w:pPr>
      <w:r>
        <w:rPr/>
        <w:t>C</w:t>
        <w:t xml:space="preserve">.  </w:t>
      </w:r>
      <w:r>
        <w:rPr/>
      </w:r>
      <w:r>
        <w:t xml:space="preserve">Involve organizations and individuals able and willing to assist with the requirements under this subsection, including, but not limited to, museums and educators; and</w:t>
      </w:r>
      <w:r>
        <w:t xml:space="preserve">  </w:t>
      </w:r>
      <w:r xmlns:wp="http://schemas.openxmlformats.org/drawingml/2010/wordprocessingDrawing" xmlns:w15="http://schemas.microsoft.com/office/word/2012/wordml">
        <w:rPr>
          <w:rFonts w:ascii="Arial" w:hAnsi="Arial" w:cs="Arial"/>
          <w:sz w:val="22"/>
          <w:szCs w:val="22"/>
        </w:rPr>
        <w:t xml:space="preserve">[PL 2025, c. 762, §1 (NEW); RR 2025, c. 2, Pt. A, §101 (RAL).]</w:t>
      </w:r>
    </w:p>
    <w:p>
      <w:pPr>
        <w:jc w:val="both"/>
        <w:spacing w:before="100" w:after="0"/>
        <w:ind w:start="720"/>
      </w:pPr>
      <w:r>
        <w:rPr/>
        <w:t>D</w:t>
        <w:t xml:space="preserve">.  </w:t>
      </w:r>
      <w:r>
        <w:rPr/>
      </w:r>
      <w:r>
        <w:t xml:space="preserve">Make recommendations to the department regarding:</w:t>
      </w:r>
    </w:p>
    <w:p>
      <w:pPr>
        <w:jc w:val="both"/>
        <w:spacing w:before="100" w:after="0"/>
        <w:ind w:start="1080"/>
      </w:pPr>
      <w:r>
        <w:rPr/>
        <w:t>(</w:t>
        <w:t>1</w:t>
        <w:t xml:space="preserve">)  </w:t>
      </w:r>
      <w:r>
        <w:rPr/>
      </w:r>
      <w:r>
        <w:t xml:space="preserve">Wabanaki studies curricula;</w:t>
      </w:r>
    </w:p>
    <w:p>
      <w:pPr>
        <w:jc w:val="both"/>
        <w:spacing w:before="100" w:after="0"/>
        <w:ind w:start="1080"/>
      </w:pPr>
      <w:r>
        <w:rPr/>
        <w:t>(</w:t>
        <w:t>2</w:t>
        <w:t xml:space="preserve">)  </w:t>
      </w:r>
      <w:r>
        <w:rPr/>
      </w:r>
      <w:r>
        <w:t xml:space="preserve">Wabanaki studies courses that count toward the requirements of teacher certification; and</w:t>
      </w:r>
    </w:p>
    <w:p>
      <w:pPr>
        <w:jc w:val="both"/>
        <w:spacing w:before="100" w:after="0"/>
        <w:ind w:start="1080"/>
      </w:pPr>
      <w:r>
        <w:rPr/>
        <w:t>(</w:t>
        <w:t>3</w:t>
        <w:t xml:space="preserve">)  </w:t>
      </w:r>
      <w:r>
        <w:rPr/>
      </w:r>
      <w:r>
        <w:t xml:space="preserve">Implementation of teacher education programs and summer teacher institutes.</w:t>
      </w:r>
      <w:r>
        <w:t xml:space="preserve">  </w:t>
      </w:r>
      <w:r xmlns:wp="http://schemas.openxmlformats.org/drawingml/2010/wordprocessingDrawing" xmlns:w15="http://schemas.microsoft.com/office/word/2012/wordml">
        <w:rPr>
          <w:rFonts w:ascii="Arial" w:hAnsi="Arial" w:cs="Arial"/>
          <w:sz w:val="22"/>
          <w:szCs w:val="22"/>
        </w:rPr>
        <w:t xml:space="preserve">[PL 2025, c. 762, §1 (NEW); RR 2025, c. 2, Pt. A, §101 (RAL).]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762, §1 (NEW); RR 2025, c. 2, Pt. A, §101 (RAL).]</w:t>
      </w:r>
    </w:p>
    <w:p>
      <w:pPr>
        <w:jc w:val="both"/>
        <w:spacing w:before="100" w:after="100"/>
        <w:ind w:start="360"/>
        <w:ind w:firstLine="360"/>
      </w:pPr>
      <w:r>
        <w:rPr>
          <w:b/>
        </w:rPr>
        <w:t>2</w:t>
        <w:t xml:space="preserve">.  </w:t>
      </w:r>
      <w:r>
        <w:rPr>
          <w:b/>
        </w:rPr>
        <w:t xml:space="preserve">Reporting.</w:t>
        <w:t xml:space="preserve"> </w:t>
      </w:r>
      <w:r>
        <w:t xml:space="preserve"> </w:t>
      </w:r>
      <w:r>
        <w:t xml:space="preserve">The specialist shall annually report to the commissioner and the Maine Indian Tribal-State Commission regarding the implementation of the instruction of Wabanaki studies as required by </w:t>
      </w:r>
      <w:r>
        <w:t>section 4706, subsection 4</w:t>
      </w:r>
      <w:r>
        <w:t xml:space="preserve"> and regarding:</w:t>
      </w:r>
    </w:p>
    <w:p>
      <w:pPr>
        <w:jc w:val="both"/>
        <w:spacing w:before="100" w:after="0"/>
        <w:ind w:start="720"/>
      </w:pPr>
      <w:r>
        <w:rPr/>
        <w:t>A</w:t>
        <w:t xml:space="preserve">.  </w:t>
      </w:r>
      <w:r>
        <w:rPr/>
      </w:r>
      <w:r>
        <w:t xml:space="preserve">Educational materials and resources that are appropriate to assist school administrative units and educators in the State to include Wabanaki studies as required by section 4706, subsection 4; and</w:t>
      </w:r>
      <w:r>
        <w:t xml:space="preserve">  </w:t>
      </w:r>
      <w:r xmlns:wp="http://schemas.openxmlformats.org/drawingml/2010/wordprocessingDrawing" xmlns:w15="http://schemas.microsoft.com/office/word/2012/wordml">
        <w:rPr>
          <w:rFonts w:ascii="Arial" w:hAnsi="Arial" w:cs="Arial"/>
          <w:sz w:val="22"/>
          <w:szCs w:val="22"/>
        </w:rPr>
        <w:t xml:space="preserve">[PL 2025, c. 762, §1 (NEW); RR 2025, c. 2, Pt. A, §101 (RAL).]</w:t>
      </w:r>
    </w:p>
    <w:p>
      <w:pPr>
        <w:jc w:val="both"/>
        <w:spacing w:before="100" w:after="0"/>
        <w:ind w:start="720"/>
      </w:pPr>
      <w:r>
        <w:rPr/>
        <w:t>B</w:t>
        <w:t xml:space="preserve">.  </w:t>
      </w:r>
      <w:r>
        <w:rPr/>
      </w:r>
      <w:r>
        <w:t xml:space="preserve">Opportunities for professional development, training and technical assistance that must be provided to assist school administrative units and educators in the State in implementing Wabanaki studies as required by </w:t>
      </w:r>
      <w:r>
        <w:t>section 4706, subsection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762, §1 (NEW); RR 2025, c. 2, Pt. A, §101 (RAL).]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762, §1 (NEW); RR 2025, c. 2, Pt. A, §101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762, §1 (NEW). RR 2025, c. 2, Pt. A, §101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 Wabanaki studies specialist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 Wabanaki studies specialist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§15. WABANAKI STUDIES SPECIALIST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